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C37D8"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5297193B"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09AFDC61"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3AA636F3"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1596ED95"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5A2536C8" w14:textId="77777777" w:rsidR="001D6BA9" w:rsidRPr="001D6BA9" w:rsidRDefault="001D6BA9" w:rsidP="001D6BA9">
      <w:pPr>
        <w:pStyle w:val="Intestazione"/>
        <w:tabs>
          <w:tab w:val="left" w:pos="709"/>
          <w:tab w:val="left" w:pos="1418"/>
          <w:tab w:val="left" w:pos="2890"/>
        </w:tabs>
        <w:spacing w:line="440" w:lineRule="exact"/>
        <w:ind w:right="-79"/>
        <w:jc w:val="center"/>
        <w:rPr>
          <w:rFonts w:asciiTheme="majorHAnsi" w:hAnsiTheme="majorHAnsi" w:cs="Tahoma"/>
          <w:b/>
          <w:bCs/>
          <w:sz w:val="10"/>
          <w:szCs w:val="10"/>
        </w:rPr>
      </w:pPr>
    </w:p>
    <w:p w14:paraId="60B385B3" w14:textId="77777777" w:rsidR="001D6BA9" w:rsidRPr="00A17B34" w:rsidRDefault="001D6BA9" w:rsidP="001D6BA9">
      <w:pPr>
        <w:pStyle w:val="Intestazione"/>
        <w:tabs>
          <w:tab w:val="left" w:pos="709"/>
          <w:tab w:val="left" w:pos="1418"/>
          <w:tab w:val="left" w:pos="2890"/>
        </w:tabs>
        <w:spacing w:line="440" w:lineRule="exact"/>
        <w:ind w:right="-79"/>
        <w:jc w:val="center"/>
        <w:rPr>
          <w:rFonts w:cs="Tahoma"/>
          <w:b/>
          <w:bCs/>
          <w:sz w:val="34"/>
          <w:szCs w:val="34"/>
        </w:rPr>
      </w:pPr>
      <w:r w:rsidRPr="00A17B34">
        <w:rPr>
          <w:rFonts w:cs="Tahoma"/>
          <w:b/>
          <w:bCs/>
          <w:sz w:val="34"/>
          <w:szCs w:val="34"/>
        </w:rPr>
        <w:t>Covid-19. La classi</w:t>
      </w:r>
      <w:r w:rsidR="007F4EC8" w:rsidRPr="00A17B34">
        <w:rPr>
          <w:rFonts w:cs="Tahoma"/>
          <w:b/>
          <w:bCs/>
          <w:sz w:val="34"/>
          <w:szCs w:val="34"/>
        </w:rPr>
        <w:t xml:space="preserve">fica della sofferenza economica </w:t>
      </w:r>
      <w:r w:rsidRPr="00A17B34">
        <w:rPr>
          <w:rFonts w:cs="Tahoma"/>
          <w:b/>
          <w:bCs/>
          <w:sz w:val="34"/>
          <w:szCs w:val="34"/>
        </w:rPr>
        <w:t>regionale</w:t>
      </w:r>
    </w:p>
    <w:p w14:paraId="621D0535" w14:textId="77777777" w:rsidR="001D6BA9" w:rsidRPr="00A17B34" w:rsidRDefault="001D6BA9" w:rsidP="001D6BA9">
      <w:pPr>
        <w:pStyle w:val="Intestazione"/>
        <w:tabs>
          <w:tab w:val="left" w:pos="709"/>
          <w:tab w:val="left" w:pos="1418"/>
          <w:tab w:val="left" w:pos="2890"/>
        </w:tabs>
        <w:ind w:right="-82"/>
        <w:jc w:val="both"/>
        <w:rPr>
          <w:rFonts w:cs="Tahoma"/>
          <w:b/>
          <w:bCs/>
          <w:sz w:val="10"/>
          <w:szCs w:val="10"/>
        </w:rPr>
      </w:pPr>
    </w:p>
    <w:p w14:paraId="0E5DB2A6" w14:textId="77777777" w:rsidR="001D6BA9" w:rsidRPr="00A17B34" w:rsidRDefault="002076A3" w:rsidP="001D6BA9">
      <w:pPr>
        <w:pStyle w:val="Intestazione"/>
        <w:tabs>
          <w:tab w:val="left" w:pos="709"/>
          <w:tab w:val="left" w:pos="1418"/>
          <w:tab w:val="left" w:pos="2890"/>
        </w:tabs>
        <w:ind w:right="-82"/>
        <w:jc w:val="both"/>
        <w:rPr>
          <w:rFonts w:cs="Tahoma"/>
          <w:b/>
          <w:bCs/>
          <w:sz w:val="22"/>
          <w:szCs w:val="22"/>
        </w:rPr>
      </w:pPr>
      <w:r w:rsidRPr="00A17B34">
        <w:rPr>
          <w:rFonts w:cs="Tahoma"/>
          <w:b/>
          <w:bCs/>
          <w:sz w:val="22"/>
          <w:szCs w:val="22"/>
        </w:rPr>
        <w:t>Sono Piemonte, Veneto e Trentino-Alto Adige</w:t>
      </w:r>
      <w:r w:rsidR="00896188" w:rsidRPr="00A17B34">
        <w:rPr>
          <w:rFonts w:cs="Tahoma"/>
          <w:b/>
          <w:bCs/>
          <w:sz w:val="22"/>
          <w:szCs w:val="22"/>
        </w:rPr>
        <w:t xml:space="preserve"> i sistemi economici e sociali più colpiti. C</w:t>
      </w:r>
      <w:r w:rsidR="00C40AD9" w:rsidRPr="00A17B34">
        <w:rPr>
          <w:rFonts w:cs="Tahoma"/>
          <w:b/>
          <w:bCs/>
          <w:sz w:val="22"/>
          <w:szCs w:val="22"/>
        </w:rPr>
        <w:t>resce la povertà</w:t>
      </w:r>
      <w:r w:rsidR="00896188" w:rsidRPr="00A17B34">
        <w:rPr>
          <w:rFonts w:cs="Tahoma"/>
          <w:b/>
          <w:bCs/>
          <w:sz w:val="22"/>
          <w:szCs w:val="22"/>
        </w:rPr>
        <w:t xml:space="preserve"> con ben 369</w:t>
      </w:r>
      <w:r w:rsidRPr="00A17B34">
        <w:rPr>
          <w:rFonts w:cs="Tahoma"/>
          <w:b/>
          <w:bCs/>
          <w:sz w:val="22"/>
          <w:szCs w:val="22"/>
        </w:rPr>
        <w:t xml:space="preserve"> </w:t>
      </w:r>
      <w:r w:rsidR="00896188" w:rsidRPr="00A17B34">
        <w:rPr>
          <w:rFonts w:cs="Tahoma"/>
          <w:b/>
          <w:bCs/>
          <w:sz w:val="22"/>
          <w:szCs w:val="22"/>
        </w:rPr>
        <w:t>mila famiglie</w:t>
      </w:r>
      <w:r w:rsidR="00C40AD9" w:rsidRPr="00A17B34">
        <w:rPr>
          <w:rFonts w:cs="Tahoma"/>
          <w:b/>
          <w:bCs/>
          <w:sz w:val="22"/>
          <w:szCs w:val="22"/>
        </w:rPr>
        <w:t xml:space="preserve"> in più in condizione di disagio economico. </w:t>
      </w:r>
      <w:r w:rsidR="001D6BA9" w:rsidRPr="00A17B34">
        <w:rPr>
          <w:rFonts w:cs="Tahoma"/>
          <w:b/>
          <w:bCs/>
          <w:sz w:val="22"/>
          <w:szCs w:val="22"/>
        </w:rPr>
        <w:t>Nel 2020, inoltre, andati i</w:t>
      </w:r>
      <w:r w:rsidR="009004AA" w:rsidRPr="00A17B34">
        <w:rPr>
          <w:rFonts w:cs="Tahoma"/>
          <w:b/>
          <w:sz w:val="22"/>
          <w:szCs w:val="22"/>
        </w:rPr>
        <w:t>n fumo circa 456</w:t>
      </w:r>
      <w:r w:rsidR="00C40AD9" w:rsidRPr="00A17B34">
        <w:rPr>
          <w:rFonts w:cs="Tahoma"/>
          <w:b/>
          <w:sz w:val="22"/>
          <w:szCs w:val="22"/>
        </w:rPr>
        <w:t xml:space="preserve"> mila posti</w:t>
      </w:r>
      <w:r w:rsidR="009004AA" w:rsidRPr="00A17B34">
        <w:rPr>
          <w:rFonts w:cs="Tahoma"/>
          <w:b/>
          <w:sz w:val="22"/>
          <w:szCs w:val="22"/>
        </w:rPr>
        <w:t xml:space="preserve"> di lavoro</w:t>
      </w:r>
      <w:r w:rsidR="00C40AD9" w:rsidRPr="00A17B34">
        <w:rPr>
          <w:rFonts w:cs="Tahoma"/>
          <w:b/>
          <w:sz w:val="22"/>
          <w:szCs w:val="22"/>
        </w:rPr>
        <w:t xml:space="preserve">. Allarme rosso per gli enti locali con mancati incassi per oltre 5 miliardi di euro. </w:t>
      </w:r>
      <w:r w:rsidR="001D6BA9" w:rsidRPr="00A17B34">
        <w:rPr>
          <w:rFonts w:cs="Tahoma"/>
          <w:b/>
          <w:bCs/>
          <w:sz w:val="22"/>
          <w:szCs w:val="22"/>
        </w:rPr>
        <w:t xml:space="preserve">Il presidente di </w:t>
      </w:r>
      <w:proofErr w:type="spellStart"/>
      <w:r w:rsidR="001D6BA9" w:rsidRPr="00A17B34">
        <w:rPr>
          <w:rFonts w:cs="Tahoma"/>
          <w:b/>
          <w:bCs/>
          <w:sz w:val="22"/>
          <w:szCs w:val="22"/>
        </w:rPr>
        <w:t>Demoskopika</w:t>
      </w:r>
      <w:proofErr w:type="spellEnd"/>
      <w:r w:rsidR="001D6BA9" w:rsidRPr="00A17B34">
        <w:rPr>
          <w:rFonts w:cs="Tahoma"/>
          <w:b/>
          <w:bCs/>
          <w:sz w:val="22"/>
          <w:szCs w:val="22"/>
        </w:rPr>
        <w:t>, Raffaele Rio: «</w:t>
      </w:r>
      <w:r w:rsidR="00896188" w:rsidRPr="00A17B34">
        <w:rPr>
          <w:rFonts w:cs="Tahoma"/>
          <w:b/>
          <w:bCs/>
          <w:sz w:val="22"/>
          <w:szCs w:val="22"/>
        </w:rPr>
        <w:t xml:space="preserve">L’emergenza pandemica non ha colpito in modo uniforme tutte le economie locali. Sarà importante che esse reggano il colpo quando cesserà la mitigazione dei provvedimenti pubblici. </w:t>
      </w:r>
      <w:r w:rsidR="00896188" w:rsidRPr="00A17B34">
        <w:rPr>
          <w:rFonts w:cs="Tahoma"/>
          <w:b/>
          <w:sz w:val="22"/>
          <w:szCs w:val="22"/>
        </w:rPr>
        <w:t>Altrimenti la crisi potrebbe peggiorare</w:t>
      </w:r>
      <w:r w:rsidR="001D6BA9" w:rsidRPr="00A17B34">
        <w:rPr>
          <w:rFonts w:cs="Tahoma"/>
          <w:b/>
          <w:bCs/>
          <w:sz w:val="22"/>
          <w:szCs w:val="22"/>
        </w:rPr>
        <w:t>».</w:t>
      </w:r>
    </w:p>
    <w:p w14:paraId="3B9B4F77" w14:textId="77777777" w:rsidR="001D6BA9" w:rsidRDefault="001D6BA9" w:rsidP="001D6BA9">
      <w:pPr>
        <w:pStyle w:val="Intestazione"/>
        <w:tabs>
          <w:tab w:val="left" w:pos="709"/>
          <w:tab w:val="left" w:pos="1418"/>
          <w:tab w:val="left" w:pos="2890"/>
        </w:tabs>
        <w:ind w:right="-82"/>
        <w:jc w:val="both"/>
        <w:rPr>
          <w:rFonts w:asciiTheme="majorHAnsi" w:hAnsiTheme="majorHAnsi" w:cs="Tahoma"/>
          <w:b/>
          <w:bCs/>
          <w:sz w:val="22"/>
          <w:szCs w:val="22"/>
        </w:rPr>
      </w:pPr>
    </w:p>
    <w:p w14:paraId="504454CE" w14:textId="2E9054D3" w:rsidR="001D6BA9" w:rsidRPr="00A17B34" w:rsidRDefault="001D6BA9" w:rsidP="001D6BA9">
      <w:pPr>
        <w:pStyle w:val="Intestazione"/>
        <w:tabs>
          <w:tab w:val="left" w:pos="709"/>
          <w:tab w:val="left" w:pos="1418"/>
          <w:tab w:val="left" w:pos="2890"/>
        </w:tabs>
        <w:ind w:right="-82"/>
        <w:jc w:val="both"/>
        <w:rPr>
          <w:rFonts w:cs="Tahoma"/>
          <w:sz w:val="22"/>
          <w:szCs w:val="22"/>
        </w:rPr>
      </w:pPr>
      <w:r w:rsidRPr="00A17B34">
        <w:rPr>
          <w:rFonts w:cs="Tahoma"/>
          <w:sz w:val="22"/>
          <w:szCs w:val="22"/>
        </w:rPr>
        <w:t xml:space="preserve">Oltre 43 miliardi di </w:t>
      </w:r>
      <w:r w:rsidR="00660449" w:rsidRPr="00A17B34">
        <w:rPr>
          <w:rFonts w:cs="Tahoma"/>
          <w:sz w:val="22"/>
          <w:szCs w:val="22"/>
        </w:rPr>
        <w:t>maggiori debiti per</w:t>
      </w:r>
      <w:r w:rsidR="009004AA" w:rsidRPr="00A17B34">
        <w:rPr>
          <w:rFonts w:cs="Tahoma"/>
          <w:sz w:val="22"/>
          <w:szCs w:val="22"/>
        </w:rPr>
        <w:t xml:space="preserve"> imprese e famiglie, 456 </w:t>
      </w:r>
      <w:r w:rsidRPr="00A17B34">
        <w:rPr>
          <w:rFonts w:cs="Tahoma"/>
          <w:sz w:val="22"/>
          <w:szCs w:val="22"/>
        </w:rPr>
        <w:t xml:space="preserve">mila </w:t>
      </w:r>
      <w:r w:rsidR="009004AA" w:rsidRPr="00A17B34">
        <w:rPr>
          <w:rFonts w:cs="Tahoma"/>
          <w:sz w:val="22"/>
          <w:szCs w:val="22"/>
        </w:rPr>
        <w:t>occupati in meno</w:t>
      </w:r>
      <w:r w:rsidRPr="00A17B34">
        <w:rPr>
          <w:rFonts w:cs="Tahoma"/>
          <w:sz w:val="22"/>
          <w:szCs w:val="22"/>
        </w:rPr>
        <w:t xml:space="preserve"> e circa 5,2 miliardi di mancati incassi tributari locali. Drammatico anche il deficit di natalità: quasi 61 mila imprese in meno rispetto al 2019. E, ancora, crescita dell’incidenza della povertà familiare con circa</w:t>
      </w:r>
      <w:r w:rsidR="002076A3" w:rsidRPr="00A17B34">
        <w:rPr>
          <w:rFonts w:cs="Tahoma"/>
          <w:sz w:val="22"/>
          <w:szCs w:val="22"/>
        </w:rPr>
        <w:t xml:space="preserve"> 369</w:t>
      </w:r>
      <w:r w:rsidRPr="00A17B34">
        <w:rPr>
          <w:rFonts w:cs="Tahoma"/>
          <w:sz w:val="22"/>
          <w:szCs w:val="22"/>
        </w:rPr>
        <w:t xml:space="preserve"> mila nuclei familiari in più in condizione di forte disagio economico. Sono sei le realtà regionali, infine, a risultare “più fiaccate” </w:t>
      </w:r>
      <w:r w:rsidR="002076A3" w:rsidRPr="00A17B34">
        <w:rPr>
          <w:rFonts w:cs="Tahoma"/>
          <w:sz w:val="22"/>
          <w:szCs w:val="22"/>
        </w:rPr>
        <w:t xml:space="preserve">dalla crisi: Piemonte, </w:t>
      </w:r>
      <w:r w:rsidRPr="00A17B34">
        <w:rPr>
          <w:rFonts w:cs="Tahoma"/>
          <w:sz w:val="22"/>
          <w:szCs w:val="22"/>
        </w:rPr>
        <w:t>Ven</w:t>
      </w:r>
      <w:r w:rsidR="002076A3" w:rsidRPr="00A17B34">
        <w:rPr>
          <w:rFonts w:cs="Tahoma"/>
          <w:sz w:val="22"/>
          <w:szCs w:val="22"/>
        </w:rPr>
        <w:t>eto, Trentino</w:t>
      </w:r>
      <w:r w:rsidR="00EA446B">
        <w:rPr>
          <w:rFonts w:cs="Tahoma"/>
          <w:sz w:val="22"/>
          <w:szCs w:val="22"/>
        </w:rPr>
        <w:t>-</w:t>
      </w:r>
      <w:r w:rsidR="002076A3" w:rsidRPr="00A17B34">
        <w:rPr>
          <w:rFonts w:cs="Tahoma"/>
          <w:sz w:val="22"/>
          <w:szCs w:val="22"/>
        </w:rPr>
        <w:t>Alto Adige, Liguria e Calabria</w:t>
      </w:r>
      <w:r w:rsidRPr="00A17B34">
        <w:rPr>
          <w:rFonts w:cs="Tahoma"/>
          <w:sz w:val="22"/>
          <w:szCs w:val="22"/>
        </w:rPr>
        <w:t>.</w:t>
      </w:r>
    </w:p>
    <w:p w14:paraId="68765519" w14:textId="60CF427D" w:rsidR="001D6BA9" w:rsidRPr="00A17B34" w:rsidRDefault="001D6BA9" w:rsidP="001D6BA9">
      <w:pPr>
        <w:pStyle w:val="Intestazione"/>
        <w:tabs>
          <w:tab w:val="left" w:pos="709"/>
          <w:tab w:val="left" w:pos="1418"/>
          <w:tab w:val="left" w:pos="2890"/>
        </w:tabs>
        <w:ind w:right="-82"/>
        <w:jc w:val="both"/>
        <w:rPr>
          <w:rFonts w:cs="Tahoma"/>
          <w:sz w:val="22"/>
          <w:szCs w:val="22"/>
        </w:rPr>
      </w:pPr>
      <w:r w:rsidRPr="00A17B34">
        <w:rPr>
          <w:rFonts w:cs="Tahoma"/>
          <w:sz w:val="22"/>
          <w:szCs w:val="22"/>
        </w:rPr>
        <w:t>È quanto emerge dall’ISER, l’</w:t>
      </w:r>
      <w:r w:rsidR="00216032">
        <w:rPr>
          <w:rFonts w:cs="Tahoma"/>
          <w:sz w:val="22"/>
          <w:szCs w:val="22"/>
        </w:rPr>
        <w:t>i</w:t>
      </w:r>
      <w:r w:rsidRPr="00A17B34">
        <w:rPr>
          <w:rFonts w:cs="Tahoma"/>
          <w:sz w:val="22"/>
          <w:szCs w:val="22"/>
        </w:rPr>
        <w:t xml:space="preserve">ndice di sofferenza economica regionale ideato da </w:t>
      </w:r>
      <w:proofErr w:type="spellStart"/>
      <w:r w:rsidRPr="00A17B34">
        <w:rPr>
          <w:rFonts w:cs="Tahoma"/>
          <w:sz w:val="22"/>
          <w:szCs w:val="22"/>
        </w:rPr>
        <w:t>Demoskopika</w:t>
      </w:r>
      <w:proofErr w:type="spellEnd"/>
      <w:r w:rsidRPr="00A17B34">
        <w:rPr>
          <w:rFonts w:cs="Tahoma"/>
          <w:sz w:val="22"/>
          <w:szCs w:val="22"/>
        </w:rPr>
        <w:t xml:space="preserve"> che, confrontando il 2020 rispetto al 2019, ha provato a quantificare </w:t>
      </w:r>
      <w:r w:rsidRPr="00A17B34">
        <w:rPr>
          <w:sz w:val="22"/>
          <w:szCs w:val="22"/>
        </w:rPr>
        <w:t>i possibili impatti della pandemia sul sistema economico e sociale italiano</w:t>
      </w:r>
      <w:r w:rsidRPr="00A17B34">
        <w:rPr>
          <w:rFonts w:cs="Tahoma"/>
          <w:sz w:val="22"/>
          <w:szCs w:val="22"/>
        </w:rPr>
        <w:t xml:space="preserve"> sulla base di </w:t>
      </w:r>
      <w:r w:rsidR="005A268A" w:rsidRPr="00A17B34">
        <w:rPr>
          <w:rFonts w:cs="Tahoma"/>
          <w:sz w:val="22"/>
          <w:szCs w:val="22"/>
        </w:rPr>
        <w:t xml:space="preserve">alcuni </w:t>
      </w:r>
      <w:r w:rsidRPr="00A17B34">
        <w:rPr>
          <w:rFonts w:cs="Tahoma"/>
          <w:sz w:val="22"/>
          <w:szCs w:val="22"/>
        </w:rPr>
        <w:t xml:space="preserve">parametri: </w:t>
      </w:r>
      <w:r w:rsidR="00CC3258" w:rsidRPr="00A17B34">
        <w:rPr>
          <w:rFonts w:cs="Tahoma"/>
          <w:sz w:val="22"/>
          <w:szCs w:val="22"/>
        </w:rPr>
        <w:t xml:space="preserve">incidenza della povertà relativa familiare, </w:t>
      </w:r>
      <w:r w:rsidR="005A268A" w:rsidRPr="00A17B34">
        <w:rPr>
          <w:rFonts w:cs="Tahoma"/>
          <w:sz w:val="22"/>
          <w:szCs w:val="22"/>
        </w:rPr>
        <w:t>occupati a tempo pieno e a tempo parziale</w:t>
      </w:r>
      <w:r w:rsidR="00CC3258" w:rsidRPr="00A17B34">
        <w:rPr>
          <w:rFonts w:cs="Tahoma"/>
          <w:sz w:val="22"/>
          <w:szCs w:val="22"/>
        </w:rPr>
        <w:t xml:space="preserve">, natalità imprenditoriale, prestiti alle imprese, credito al consumo alle famiglie e, infine, </w:t>
      </w:r>
      <w:r w:rsidRPr="00A17B34">
        <w:rPr>
          <w:rFonts w:cs="Tahoma"/>
          <w:sz w:val="22"/>
          <w:szCs w:val="22"/>
        </w:rPr>
        <w:t>entrate tributa</w:t>
      </w:r>
      <w:r w:rsidR="00CC3258" w:rsidRPr="00A17B34">
        <w:rPr>
          <w:rFonts w:cs="Tahoma"/>
          <w:sz w:val="22"/>
          <w:szCs w:val="22"/>
        </w:rPr>
        <w:t>rie ed extra-tributarie locali</w:t>
      </w:r>
      <w:r w:rsidRPr="00A17B34">
        <w:rPr>
          <w:rFonts w:cs="Tahoma"/>
          <w:sz w:val="22"/>
          <w:szCs w:val="22"/>
        </w:rPr>
        <w:t>.</w:t>
      </w:r>
    </w:p>
    <w:p w14:paraId="1EABA05D" w14:textId="77777777" w:rsidR="001D6BA9" w:rsidRPr="00A17B34" w:rsidRDefault="001D6BA9" w:rsidP="001D6BA9">
      <w:pPr>
        <w:pStyle w:val="Intestazione"/>
        <w:tabs>
          <w:tab w:val="left" w:pos="709"/>
          <w:tab w:val="left" w:pos="1418"/>
          <w:tab w:val="left" w:pos="2890"/>
        </w:tabs>
        <w:ind w:right="-82"/>
        <w:jc w:val="both"/>
        <w:rPr>
          <w:rFonts w:cs="Tahoma"/>
          <w:bCs/>
          <w:sz w:val="22"/>
          <w:szCs w:val="22"/>
        </w:rPr>
      </w:pPr>
    </w:p>
    <w:p w14:paraId="3933C210" w14:textId="6BDA2822" w:rsidR="001D6BA9" w:rsidRPr="00A17B34" w:rsidRDefault="001D6BA9" w:rsidP="001D6BA9">
      <w:pPr>
        <w:pStyle w:val="Intestazione"/>
        <w:tabs>
          <w:tab w:val="left" w:pos="709"/>
          <w:tab w:val="left" w:pos="1418"/>
          <w:tab w:val="left" w:pos="2890"/>
        </w:tabs>
        <w:ind w:right="-82"/>
        <w:jc w:val="both"/>
        <w:rPr>
          <w:rFonts w:cs="Tahoma"/>
          <w:sz w:val="22"/>
          <w:szCs w:val="22"/>
        </w:rPr>
      </w:pPr>
      <w:r w:rsidRPr="00A17B34">
        <w:rPr>
          <w:rFonts w:cs="Tahoma"/>
          <w:sz w:val="22"/>
          <w:szCs w:val="22"/>
        </w:rPr>
        <w:t xml:space="preserve">«La crisi pandemica – </w:t>
      </w:r>
      <w:r w:rsidRPr="00A17B34">
        <w:rPr>
          <w:rFonts w:cs="Tahoma"/>
          <w:i/>
          <w:sz w:val="22"/>
          <w:szCs w:val="22"/>
        </w:rPr>
        <w:t xml:space="preserve">dichiara il presidente di </w:t>
      </w:r>
      <w:proofErr w:type="spellStart"/>
      <w:r w:rsidRPr="00A17B34">
        <w:rPr>
          <w:rFonts w:cs="Tahoma"/>
          <w:i/>
          <w:sz w:val="22"/>
          <w:szCs w:val="22"/>
        </w:rPr>
        <w:t>Demoskopika</w:t>
      </w:r>
      <w:proofErr w:type="spellEnd"/>
      <w:r w:rsidRPr="00A17B34">
        <w:rPr>
          <w:rFonts w:cs="Tahoma"/>
          <w:i/>
          <w:sz w:val="22"/>
          <w:szCs w:val="22"/>
        </w:rPr>
        <w:t>, Raffaele Rio</w:t>
      </w:r>
      <w:r w:rsidRPr="00A17B34">
        <w:rPr>
          <w:rFonts w:cs="Tahoma"/>
          <w:sz w:val="22"/>
          <w:szCs w:val="22"/>
        </w:rPr>
        <w:t xml:space="preserve"> – non ha colpito in modo uniforme tutte le economie locali. Gli indicatori osservati e sintetizzati dall’</w:t>
      </w:r>
      <w:r w:rsidR="00216032">
        <w:rPr>
          <w:rFonts w:cs="Tahoma"/>
          <w:sz w:val="22"/>
          <w:szCs w:val="22"/>
        </w:rPr>
        <w:t>i</w:t>
      </w:r>
      <w:r w:rsidRPr="00A17B34">
        <w:rPr>
          <w:rFonts w:cs="Tahoma"/>
          <w:sz w:val="22"/>
          <w:szCs w:val="22"/>
        </w:rPr>
        <w:t xml:space="preserve">ndice di sofferenza economica regionale evidenziano che alcuni sistemi regionali stanno soffrendo in maniera più elevata rispetto ad altri. Anche se per tutti l’allarme è indubbiamente rosso. Inoltre, - </w:t>
      </w:r>
      <w:r w:rsidRPr="00A17B34">
        <w:rPr>
          <w:rFonts w:cs="Tahoma"/>
          <w:i/>
          <w:sz w:val="22"/>
          <w:szCs w:val="22"/>
        </w:rPr>
        <w:t>continua Raffaele Rio</w:t>
      </w:r>
      <w:r w:rsidRPr="00A17B34">
        <w:rPr>
          <w:rFonts w:cs="Tahoma"/>
          <w:sz w:val="22"/>
          <w:szCs w:val="22"/>
        </w:rPr>
        <w:t xml:space="preserve"> – la nuova ondata torna a far impennare la curva della preoccupazione di famiglie e imprese producendo una frenata alla natalità imprenditoriale e incrementando i bisogni di liquidità di famiglie e imprese. E ciò </w:t>
      </w:r>
      <w:r w:rsidR="0028431B">
        <w:rPr>
          <w:rFonts w:cs="Tahoma"/>
          <w:sz w:val="22"/>
          <w:szCs w:val="22"/>
        </w:rPr>
        <w:t xml:space="preserve">genera, </w:t>
      </w:r>
      <w:r w:rsidRPr="00A17B34">
        <w:rPr>
          <w:rFonts w:cs="Tahoma"/>
          <w:sz w:val="22"/>
          <w:szCs w:val="22"/>
        </w:rPr>
        <w:t xml:space="preserve">nonostante le azioni di mitigazione dei provvedimenti pubblici, un ampliamento ulteriore del livello d’indebitamento e di impoverimento del sistema economico e sociale. Sarà fondamentale - </w:t>
      </w:r>
      <w:r w:rsidRPr="00A17B34">
        <w:rPr>
          <w:rFonts w:cs="Tahoma"/>
          <w:i/>
          <w:sz w:val="22"/>
          <w:szCs w:val="22"/>
        </w:rPr>
        <w:t>conclude Raffaele Rio</w:t>
      </w:r>
      <w:r w:rsidRPr="00A17B34">
        <w:rPr>
          <w:rFonts w:cs="Tahoma"/>
          <w:sz w:val="22"/>
          <w:szCs w:val="22"/>
        </w:rPr>
        <w:t xml:space="preserve"> - comprendere come i sistemi locali reggeranno, in termini di sostenibilità, l’impatto della fine, ad esempio, del blocco dei licenziamenti e della cassa integrazione, della moratoria su prestiti, mutui e finanziamenti, delle misure di trasferimento di risorse aggiuntive agli enti locali».</w:t>
      </w:r>
    </w:p>
    <w:p w14:paraId="11A8B516" w14:textId="77777777" w:rsidR="001D6BA9" w:rsidRPr="00A17B34" w:rsidRDefault="001D6BA9" w:rsidP="001D6BA9">
      <w:pPr>
        <w:pStyle w:val="Intestazione"/>
        <w:tabs>
          <w:tab w:val="left" w:pos="709"/>
          <w:tab w:val="left" w:pos="1418"/>
          <w:tab w:val="left" w:pos="2890"/>
        </w:tabs>
        <w:ind w:right="-82"/>
        <w:jc w:val="both"/>
        <w:rPr>
          <w:rFonts w:cs="Tahoma"/>
          <w:sz w:val="22"/>
          <w:szCs w:val="22"/>
        </w:rPr>
      </w:pPr>
    </w:p>
    <w:p w14:paraId="1037B53B" w14:textId="77777777" w:rsidR="000006A7" w:rsidRPr="00A17B34" w:rsidRDefault="001D6BA9" w:rsidP="001D6BA9">
      <w:pPr>
        <w:pStyle w:val="Intestazione"/>
        <w:tabs>
          <w:tab w:val="left" w:pos="709"/>
          <w:tab w:val="left" w:pos="1418"/>
          <w:tab w:val="left" w:pos="2890"/>
        </w:tabs>
        <w:ind w:right="-82"/>
        <w:jc w:val="both"/>
        <w:rPr>
          <w:i/>
          <w:iCs/>
          <w:color w:val="000000"/>
          <w:sz w:val="22"/>
          <w:szCs w:val="22"/>
        </w:rPr>
      </w:pPr>
      <w:r w:rsidRPr="00A17B34">
        <w:rPr>
          <w:rFonts w:cs="Tahoma"/>
          <w:b/>
          <w:bCs/>
          <w:kern w:val="36"/>
          <w:sz w:val="22"/>
          <w:szCs w:val="22"/>
        </w:rPr>
        <w:t>Class</w:t>
      </w:r>
      <w:r w:rsidR="00B3074C" w:rsidRPr="00A17B34">
        <w:rPr>
          <w:rFonts w:cs="Tahoma"/>
          <w:b/>
          <w:bCs/>
          <w:kern w:val="36"/>
          <w:sz w:val="22"/>
          <w:szCs w:val="22"/>
        </w:rPr>
        <w:t xml:space="preserve">ifica ISER: Piemonte, </w:t>
      </w:r>
      <w:r w:rsidRPr="00A17B34">
        <w:rPr>
          <w:rFonts w:cs="Tahoma"/>
          <w:b/>
          <w:bCs/>
          <w:kern w:val="36"/>
          <w:sz w:val="22"/>
          <w:szCs w:val="22"/>
        </w:rPr>
        <w:t>Veneto</w:t>
      </w:r>
      <w:r w:rsidR="00B3074C" w:rsidRPr="00A17B34">
        <w:rPr>
          <w:rFonts w:cs="Tahoma"/>
          <w:b/>
          <w:bCs/>
          <w:kern w:val="36"/>
          <w:sz w:val="22"/>
          <w:szCs w:val="22"/>
        </w:rPr>
        <w:t xml:space="preserve"> e Trentino-Alto Adige</w:t>
      </w:r>
      <w:r w:rsidRPr="00A17B34">
        <w:rPr>
          <w:rFonts w:cs="Tahoma"/>
          <w:b/>
          <w:bCs/>
          <w:kern w:val="36"/>
          <w:sz w:val="22"/>
          <w:szCs w:val="22"/>
        </w:rPr>
        <w:t xml:space="preserve"> i sistemi “più sofferenti”. </w:t>
      </w:r>
      <w:r w:rsidR="00320E0B" w:rsidRPr="00A17B34">
        <w:rPr>
          <w:rStyle w:val="jsgrdq"/>
          <w:color w:val="000000"/>
          <w:sz w:val="22"/>
          <w:szCs w:val="22"/>
        </w:rPr>
        <w:t xml:space="preserve">Per consentire una lettura più agevole, le regioni sono state classificate in tre cluster principali, in relazione al livello di sofferenza economica: </w:t>
      </w:r>
      <w:r w:rsidR="00320E0B" w:rsidRPr="001741BE">
        <w:rPr>
          <w:rStyle w:val="jsgrdq"/>
          <w:i/>
          <w:color w:val="000000"/>
          <w:sz w:val="22"/>
          <w:szCs w:val="22"/>
        </w:rPr>
        <w:t>molto elevato</w:t>
      </w:r>
      <w:r w:rsidR="00320E0B" w:rsidRPr="00A17B34">
        <w:rPr>
          <w:rStyle w:val="jsgrdq"/>
          <w:color w:val="000000"/>
          <w:sz w:val="22"/>
          <w:szCs w:val="22"/>
        </w:rPr>
        <w:t xml:space="preserve"> </w:t>
      </w:r>
      <w:r w:rsidR="00320E0B" w:rsidRPr="001741BE">
        <w:rPr>
          <w:rStyle w:val="jsgrdq"/>
          <w:color w:val="000000"/>
          <w:sz w:val="22"/>
          <w:szCs w:val="22"/>
        </w:rPr>
        <w:t>(zona rossa)</w:t>
      </w:r>
      <w:r w:rsidR="00320E0B" w:rsidRPr="00A17B34">
        <w:rPr>
          <w:rStyle w:val="jsgrdq"/>
          <w:color w:val="000000"/>
          <w:sz w:val="22"/>
          <w:szCs w:val="22"/>
        </w:rPr>
        <w:t xml:space="preserve"> </w:t>
      </w:r>
      <w:r w:rsidR="00320E0B" w:rsidRPr="001741BE">
        <w:rPr>
          <w:rStyle w:val="jsgrdq"/>
          <w:i/>
          <w:color w:val="000000"/>
          <w:sz w:val="22"/>
          <w:szCs w:val="22"/>
        </w:rPr>
        <w:t>elevato</w:t>
      </w:r>
      <w:r w:rsidR="00320E0B" w:rsidRPr="00A17B34">
        <w:rPr>
          <w:rStyle w:val="jsgrdq"/>
          <w:color w:val="000000"/>
          <w:sz w:val="22"/>
          <w:szCs w:val="22"/>
        </w:rPr>
        <w:t xml:space="preserve"> (zona arancione) e </w:t>
      </w:r>
      <w:r w:rsidR="00320E0B" w:rsidRPr="001741BE">
        <w:rPr>
          <w:rStyle w:val="jsgrdq"/>
          <w:i/>
          <w:color w:val="000000"/>
          <w:sz w:val="22"/>
          <w:szCs w:val="22"/>
        </w:rPr>
        <w:t>moderatamente elevato</w:t>
      </w:r>
      <w:r w:rsidR="00320E0B" w:rsidRPr="00A17B34">
        <w:rPr>
          <w:rStyle w:val="jsgrdq"/>
          <w:color w:val="000000"/>
          <w:sz w:val="22"/>
          <w:szCs w:val="22"/>
        </w:rPr>
        <w:t xml:space="preserve"> </w:t>
      </w:r>
      <w:r w:rsidR="00320E0B" w:rsidRPr="001741BE">
        <w:rPr>
          <w:rStyle w:val="jsgrdq"/>
          <w:color w:val="000000"/>
          <w:sz w:val="22"/>
          <w:szCs w:val="22"/>
        </w:rPr>
        <w:t>(zona gialla)</w:t>
      </w:r>
      <w:r w:rsidR="003F122A" w:rsidRPr="001741BE">
        <w:rPr>
          <w:rStyle w:val="jsgrdq"/>
          <w:iCs/>
          <w:color w:val="000000"/>
          <w:sz w:val="22"/>
          <w:szCs w:val="22"/>
        </w:rPr>
        <w:t>.</w:t>
      </w:r>
      <w:r w:rsidR="003F122A" w:rsidRPr="00A17B34">
        <w:rPr>
          <w:rStyle w:val="jsgrdq"/>
          <w:i/>
          <w:iCs/>
          <w:color w:val="000000"/>
          <w:sz w:val="22"/>
          <w:szCs w:val="22"/>
        </w:rPr>
        <w:t xml:space="preserve"> </w:t>
      </w:r>
      <w:r w:rsidR="003F122A" w:rsidRPr="00A17B34">
        <w:rPr>
          <w:rFonts w:cs="Tahoma"/>
          <w:bCs/>
          <w:kern w:val="36"/>
          <w:sz w:val="22"/>
          <w:szCs w:val="22"/>
        </w:rPr>
        <w:t>C</w:t>
      </w:r>
      <w:r w:rsidR="00A823B0" w:rsidRPr="00A17B34">
        <w:rPr>
          <w:rFonts w:cs="Tahoma"/>
          <w:bCs/>
          <w:kern w:val="36"/>
          <w:sz w:val="22"/>
          <w:szCs w:val="22"/>
        </w:rPr>
        <w:t>inque</w:t>
      </w:r>
      <w:r w:rsidRPr="00A17B34">
        <w:rPr>
          <w:rFonts w:cs="Tahoma"/>
          <w:bCs/>
          <w:kern w:val="36"/>
          <w:sz w:val="22"/>
          <w:szCs w:val="22"/>
        </w:rPr>
        <w:t xml:space="preserve"> realtà regionali con</w:t>
      </w:r>
      <w:r w:rsidR="00114F21" w:rsidRPr="00A17B34">
        <w:rPr>
          <w:rFonts w:cs="Tahoma"/>
          <w:bCs/>
          <w:kern w:val="36"/>
          <w:sz w:val="22"/>
          <w:szCs w:val="22"/>
        </w:rPr>
        <w:t xml:space="preserve"> un</w:t>
      </w:r>
      <w:r w:rsidRPr="00A17B34">
        <w:rPr>
          <w:rFonts w:cs="Tahoma"/>
          <w:bCs/>
          <w:kern w:val="36"/>
          <w:sz w:val="22"/>
          <w:szCs w:val="22"/>
        </w:rPr>
        <w:t xml:space="preserve"> </w:t>
      </w:r>
      <w:r w:rsidR="00114F21" w:rsidRPr="00A17B34">
        <w:rPr>
          <w:rFonts w:cs="Tahoma"/>
          <w:bCs/>
          <w:kern w:val="36"/>
          <w:sz w:val="22"/>
          <w:szCs w:val="22"/>
        </w:rPr>
        <w:t>livello</w:t>
      </w:r>
      <w:r w:rsidRPr="00A17B34">
        <w:rPr>
          <w:rFonts w:cs="Tahoma"/>
          <w:bCs/>
          <w:kern w:val="36"/>
          <w:sz w:val="22"/>
          <w:szCs w:val="22"/>
        </w:rPr>
        <w:t xml:space="preserve"> sofferenza</w:t>
      </w:r>
      <w:r w:rsidR="000006A7" w:rsidRPr="00A17B34">
        <w:rPr>
          <w:rFonts w:cs="Tahoma"/>
          <w:bCs/>
          <w:kern w:val="36"/>
          <w:sz w:val="22"/>
          <w:szCs w:val="22"/>
        </w:rPr>
        <w:t xml:space="preserve"> “molto elevato”,</w:t>
      </w:r>
      <w:r w:rsidR="00A823B0" w:rsidRPr="00A17B34">
        <w:rPr>
          <w:rFonts w:cs="Tahoma"/>
          <w:bCs/>
          <w:kern w:val="36"/>
          <w:sz w:val="22"/>
          <w:szCs w:val="22"/>
        </w:rPr>
        <w:t xml:space="preserve"> dieci</w:t>
      </w:r>
      <w:r w:rsidRPr="00A17B34">
        <w:rPr>
          <w:rFonts w:cs="Tahoma"/>
          <w:bCs/>
          <w:kern w:val="36"/>
          <w:sz w:val="22"/>
          <w:szCs w:val="22"/>
        </w:rPr>
        <w:t xml:space="preserve"> con un livello </w:t>
      </w:r>
      <w:r w:rsidR="00114F21" w:rsidRPr="00A17B34">
        <w:rPr>
          <w:rFonts w:cs="Tahoma"/>
          <w:bCs/>
          <w:kern w:val="36"/>
          <w:sz w:val="22"/>
          <w:szCs w:val="22"/>
        </w:rPr>
        <w:t>“elevato” e</w:t>
      </w:r>
      <w:r w:rsidRPr="00A17B34">
        <w:rPr>
          <w:rFonts w:cs="Tahoma"/>
          <w:bCs/>
          <w:kern w:val="36"/>
          <w:sz w:val="22"/>
          <w:szCs w:val="22"/>
        </w:rPr>
        <w:t xml:space="preserve"> le rimanent</w:t>
      </w:r>
      <w:r w:rsidR="00114F21" w:rsidRPr="00A17B34">
        <w:rPr>
          <w:rFonts w:cs="Tahoma"/>
          <w:bCs/>
          <w:kern w:val="36"/>
          <w:sz w:val="22"/>
          <w:szCs w:val="22"/>
        </w:rPr>
        <w:t xml:space="preserve">i cinque con un grado </w:t>
      </w:r>
      <w:r w:rsidR="00ED57AB" w:rsidRPr="00A17B34">
        <w:rPr>
          <w:rFonts w:cs="Tahoma"/>
          <w:bCs/>
          <w:kern w:val="36"/>
          <w:sz w:val="22"/>
          <w:szCs w:val="22"/>
        </w:rPr>
        <w:t>“</w:t>
      </w:r>
      <w:r w:rsidR="00114F21" w:rsidRPr="00A17B34">
        <w:rPr>
          <w:rFonts w:cs="Tahoma"/>
          <w:bCs/>
          <w:kern w:val="36"/>
          <w:sz w:val="22"/>
          <w:szCs w:val="22"/>
        </w:rPr>
        <w:t>mode</w:t>
      </w:r>
      <w:r w:rsidR="00320E0B" w:rsidRPr="00A17B34">
        <w:rPr>
          <w:rFonts w:cs="Tahoma"/>
          <w:bCs/>
          <w:kern w:val="36"/>
          <w:sz w:val="22"/>
          <w:szCs w:val="22"/>
        </w:rPr>
        <w:t>ratamente elevato”</w:t>
      </w:r>
      <w:r w:rsidRPr="00A17B34">
        <w:rPr>
          <w:rFonts w:cs="Tahoma"/>
          <w:bCs/>
          <w:kern w:val="36"/>
          <w:sz w:val="22"/>
          <w:szCs w:val="22"/>
        </w:rPr>
        <w:t xml:space="preserve">. È questo il quadro che emerge dall’ISER, </w:t>
      </w:r>
      <w:r w:rsidRPr="00A17B34">
        <w:rPr>
          <w:rFonts w:cs="Tahoma"/>
          <w:sz w:val="22"/>
          <w:szCs w:val="22"/>
        </w:rPr>
        <w:t xml:space="preserve">l’indice di sofferenza economica regionale ideato da </w:t>
      </w:r>
      <w:proofErr w:type="spellStart"/>
      <w:r w:rsidRPr="00A17B34">
        <w:rPr>
          <w:rFonts w:cs="Tahoma"/>
          <w:sz w:val="22"/>
          <w:szCs w:val="22"/>
        </w:rPr>
        <w:t>Demoskopika</w:t>
      </w:r>
      <w:proofErr w:type="spellEnd"/>
      <w:r w:rsidR="000006A7" w:rsidRPr="00A17B34">
        <w:rPr>
          <w:rFonts w:cs="Tahoma"/>
          <w:b/>
          <w:bCs/>
          <w:kern w:val="36"/>
          <w:sz w:val="22"/>
          <w:szCs w:val="22"/>
        </w:rPr>
        <w:t xml:space="preserve">. </w:t>
      </w:r>
    </w:p>
    <w:p w14:paraId="443060AA" w14:textId="1A69ECAB" w:rsidR="00680886" w:rsidRPr="00041474" w:rsidRDefault="001D6BA9" w:rsidP="001D6BA9">
      <w:pPr>
        <w:pStyle w:val="Intestazione"/>
        <w:tabs>
          <w:tab w:val="left" w:pos="709"/>
          <w:tab w:val="left" w:pos="1418"/>
          <w:tab w:val="left" w:pos="2890"/>
        </w:tabs>
        <w:ind w:right="-82"/>
        <w:jc w:val="both"/>
        <w:rPr>
          <w:rFonts w:cs="Tahoma"/>
          <w:sz w:val="22"/>
          <w:szCs w:val="22"/>
        </w:rPr>
      </w:pPr>
      <w:r w:rsidRPr="00041474">
        <w:rPr>
          <w:rFonts w:cs="Tahoma"/>
          <w:sz w:val="22"/>
          <w:szCs w:val="22"/>
        </w:rPr>
        <w:lastRenderedPageBreak/>
        <w:t xml:space="preserve">In particolare, </w:t>
      </w:r>
      <w:r w:rsidR="00EA42B6" w:rsidRPr="00041474">
        <w:rPr>
          <w:rFonts w:cs="Tahoma"/>
          <w:sz w:val="22"/>
          <w:szCs w:val="22"/>
        </w:rPr>
        <w:t>tra i</w:t>
      </w:r>
      <w:r w:rsidRPr="00041474">
        <w:rPr>
          <w:rFonts w:cs="Tahoma"/>
          <w:sz w:val="22"/>
          <w:szCs w:val="22"/>
        </w:rPr>
        <w:t xml:space="preserve"> sistemi economici e sociali maggiormente “provati” dall’emergenza pandemica</w:t>
      </w:r>
      <w:r w:rsidR="00BA0ABB" w:rsidRPr="00041474">
        <w:rPr>
          <w:rFonts w:cs="Tahoma"/>
          <w:sz w:val="22"/>
          <w:szCs w:val="22"/>
        </w:rPr>
        <w:t xml:space="preserve"> (zone rosse</w:t>
      </w:r>
      <w:r w:rsidR="00905C00" w:rsidRPr="00041474">
        <w:rPr>
          <w:rFonts w:cs="Tahoma"/>
          <w:sz w:val="22"/>
          <w:szCs w:val="22"/>
        </w:rPr>
        <w:t>)</w:t>
      </w:r>
      <w:r w:rsidRPr="00041474">
        <w:rPr>
          <w:rFonts w:cs="Tahoma"/>
          <w:sz w:val="22"/>
          <w:szCs w:val="22"/>
        </w:rPr>
        <w:t xml:space="preserve"> si collocano P</w:t>
      </w:r>
      <w:r w:rsidR="00F204FC" w:rsidRPr="00041474">
        <w:rPr>
          <w:rFonts w:cs="Tahoma"/>
          <w:sz w:val="22"/>
          <w:szCs w:val="22"/>
        </w:rPr>
        <w:t>iemonte che ha totalizzato 111,7 punti, Veneto con 107,8 punti e Trentino-Alto Adige con 107,5</w:t>
      </w:r>
      <w:r w:rsidRPr="00041474">
        <w:rPr>
          <w:rFonts w:cs="Tahoma"/>
          <w:sz w:val="22"/>
          <w:szCs w:val="22"/>
        </w:rPr>
        <w:t xml:space="preserve"> punti. A influire negativamente sul posizionamento in vetta alla classifica sono stati prioritariamente l’andamento dei prestiti alle imprese per il Piemonte che ha registrato un incremento di oltre 9,2 miliardi di euro pari al </w:t>
      </w:r>
      <w:r w:rsidRPr="002156BA">
        <w:rPr>
          <w:rFonts w:cs="Tahoma"/>
          <w:color w:val="000000" w:themeColor="text1"/>
          <w:sz w:val="22"/>
          <w:szCs w:val="22"/>
        </w:rPr>
        <w:t>19</w:t>
      </w:r>
      <w:r w:rsidRPr="00041474">
        <w:rPr>
          <w:rFonts w:cs="Tahoma"/>
          <w:sz w:val="22"/>
          <w:szCs w:val="22"/>
        </w:rPr>
        <w:t xml:space="preserve"> per cento rispetto al 2019,</w:t>
      </w:r>
      <w:r w:rsidR="00F204FC" w:rsidRPr="00041474">
        <w:rPr>
          <w:rFonts w:cs="Tahoma"/>
          <w:sz w:val="22"/>
          <w:szCs w:val="22"/>
        </w:rPr>
        <w:t xml:space="preserve"> la crescita del 2,</w:t>
      </w:r>
      <w:r w:rsidR="002156BA">
        <w:rPr>
          <w:rFonts w:cs="Tahoma"/>
          <w:sz w:val="22"/>
          <w:szCs w:val="22"/>
        </w:rPr>
        <w:t>7</w:t>
      </w:r>
      <w:r w:rsidR="00F204FC" w:rsidRPr="00041474">
        <w:rPr>
          <w:rFonts w:cs="Tahoma"/>
          <w:sz w:val="22"/>
          <w:szCs w:val="22"/>
        </w:rPr>
        <w:t xml:space="preserve"> per cento dell’incidenza della povertà relativa per il Veneto quantificabile in oltre 56 mila nuovi nuclei familiari in condizione di forte disagio economico </w:t>
      </w:r>
      <w:r w:rsidRPr="00041474">
        <w:rPr>
          <w:rFonts w:cs="Tahoma"/>
          <w:sz w:val="22"/>
          <w:szCs w:val="22"/>
        </w:rPr>
        <w:t xml:space="preserve">e, infine, </w:t>
      </w:r>
      <w:r w:rsidR="00F204FC" w:rsidRPr="00041474">
        <w:rPr>
          <w:rFonts w:cs="Tahoma"/>
          <w:sz w:val="22"/>
          <w:szCs w:val="22"/>
        </w:rPr>
        <w:t>il maggiore indebitamento delle famiglie per il Trentino-Alto Adige con una crescita del credito al consumo pari a 46 milioni di euro (+3,4%).</w:t>
      </w:r>
      <w:r w:rsidRPr="00041474">
        <w:rPr>
          <w:rFonts w:cs="Tahoma"/>
          <w:sz w:val="22"/>
          <w:szCs w:val="22"/>
        </w:rPr>
        <w:t xml:space="preserve"> </w:t>
      </w:r>
      <w:r w:rsidR="00680886" w:rsidRPr="00041474">
        <w:rPr>
          <w:rFonts w:cs="Tahoma"/>
          <w:sz w:val="22"/>
          <w:szCs w:val="22"/>
        </w:rPr>
        <w:t>E, inoltre, sempre n</w:t>
      </w:r>
      <w:r w:rsidRPr="00041474">
        <w:rPr>
          <w:rFonts w:cs="Tahoma"/>
          <w:sz w:val="22"/>
          <w:szCs w:val="22"/>
        </w:rPr>
        <w:t xml:space="preserve">ell’area dei sistemi economici e sociali con un livello di sofferenza </w:t>
      </w:r>
      <w:r w:rsidR="00680886" w:rsidRPr="00041474">
        <w:rPr>
          <w:rFonts w:cs="Tahoma"/>
          <w:sz w:val="22"/>
          <w:szCs w:val="22"/>
        </w:rPr>
        <w:t>“molto elevato”</w:t>
      </w:r>
      <w:r w:rsidRPr="00041474">
        <w:rPr>
          <w:rFonts w:cs="Tahoma"/>
          <w:sz w:val="22"/>
          <w:szCs w:val="22"/>
        </w:rPr>
        <w:t xml:space="preserve"> si posizionano</w:t>
      </w:r>
      <w:r w:rsidR="00680886" w:rsidRPr="00041474">
        <w:rPr>
          <w:rFonts w:cs="Tahoma"/>
          <w:sz w:val="22"/>
          <w:szCs w:val="22"/>
        </w:rPr>
        <w:t xml:space="preserve"> altre due</w:t>
      </w:r>
      <w:r w:rsidRPr="00041474">
        <w:rPr>
          <w:rFonts w:cs="Tahoma"/>
          <w:sz w:val="22"/>
          <w:szCs w:val="22"/>
        </w:rPr>
        <w:t xml:space="preserve"> realtà regionali: </w:t>
      </w:r>
      <w:r w:rsidR="00680886" w:rsidRPr="00041474">
        <w:rPr>
          <w:rFonts w:cs="Tahoma"/>
          <w:sz w:val="22"/>
          <w:szCs w:val="22"/>
        </w:rPr>
        <w:t>Liguria (106,3 punti)</w:t>
      </w:r>
      <w:r w:rsidR="00F1033D" w:rsidRPr="00041474">
        <w:rPr>
          <w:rFonts w:cs="Tahoma"/>
          <w:sz w:val="22"/>
          <w:szCs w:val="22"/>
        </w:rPr>
        <w:t xml:space="preserve"> con una contrazione della natalità imprenditoriale pari a quasi 2 mila nuove imprese </w:t>
      </w:r>
      <w:r w:rsidR="00F1033D" w:rsidRPr="00565723">
        <w:rPr>
          <w:rFonts w:cs="Tahoma"/>
          <w:sz w:val="22"/>
          <w:szCs w:val="22"/>
        </w:rPr>
        <w:t>(-21,</w:t>
      </w:r>
      <w:r w:rsidR="00565723">
        <w:rPr>
          <w:rFonts w:cs="Tahoma"/>
          <w:sz w:val="22"/>
          <w:szCs w:val="22"/>
        </w:rPr>
        <w:t>2</w:t>
      </w:r>
      <w:r w:rsidR="00F1033D" w:rsidRPr="00041474">
        <w:rPr>
          <w:rFonts w:cs="Tahoma"/>
          <w:sz w:val="22"/>
          <w:szCs w:val="22"/>
        </w:rPr>
        <w:t xml:space="preserve"> per cento)</w:t>
      </w:r>
      <w:r w:rsidR="00680886" w:rsidRPr="00041474">
        <w:rPr>
          <w:rFonts w:cs="Tahoma"/>
          <w:sz w:val="22"/>
          <w:szCs w:val="22"/>
        </w:rPr>
        <w:t xml:space="preserve"> e Calabria (104,7</w:t>
      </w:r>
      <w:r w:rsidRPr="00041474">
        <w:rPr>
          <w:rFonts w:cs="Tahoma"/>
          <w:sz w:val="22"/>
          <w:szCs w:val="22"/>
        </w:rPr>
        <w:t xml:space="preserve"> punti</w:t>
      </w:r>
      <w:r w:rsidR="00041474" w:rsidRPr="00041474">
        <w:rPr>
          <w:rFonts w:cs="Tahoma"/>
          <w:sz w:val="22"/>
          <w:szCs w:val="22"/>
        </w:rPr>
        <w:t>) con una flessione quantificabile in oltre 23 mila occupati in meno (-4,3%)</w:t>
      </w:r>
      <w:r w:rsidR="00680886" w:rsidRPr="00041474">
        <w:rPr>
          <w:rFonts w:cs="Tahoma"/>
          <w:sz w:val="22"/>
          <w:szCs w:val="22"/>
        </w:rPr>
        <w:t>.</w:t>
      </w:r>
    </w:p>
    <w:p w14:paraId="0EF9377F" w14:textId="77777777" w:rsidR="00041474" w:rsidRPr="00041474" w:rsidRDefault="00041474" w:rsidP="001D6BA9">
      <w:pPr>
        <w:pStyle w:val="Intestazione"/>
        <w:tabs>
          <w:tab w:val="left" w:pos="709"/>
          <w:tab w:val="left" w:pos="1418"/>
          <w:tab w:val="left" w:pos="2890"/>
        </w:tabs>
        <w:ind w:right="-82"/>
        <w:jc w:val="both"/>
        <w:rPr>
          <w:rFonts w:cs="Tahoma"/>
          <w:sz w:val="22"/>
          <w:szCs w:val="22"/>
        </w:rPr>
      </w:pPr>
      <w:r w:rsidRPr="00041474">
        <w:rPr>
          <w:rFonts w:cs="Tahoma"/>
          <w:sz w:val="22"/>
          <w:szCs w:val="22"/>
        </w:rPr>
        <w:t>A seguire, n</w:t>
      </w:r>
      <w:r w:rsidR="005E6A3B" w:rsidRPr="00041474">
        <w:rPr>
          <w:rFonts w:cs="Tahoma"/>
          <w:sz w:val="22"/>
          <w:szCs w:val="22"/>
        </w:rPr>
        <w:t xml:space="preserve">ell’area </w:t>
      </w:r>
      <w:r w:rsidRPr="00041474">
        <w:rPr>
          <w:rFonts w:cs="Tahoma"/>
          <w:sz w:val="22"/>
          <w:szCs w:val="22"/>
        </w:rPr>
        <w:t xml:space="preserve">caratterizzata da </w:t>
      </w:r>
      <w:r w:rsidR="005E6A3B" w:rsidRPr="00041474">
        <w:rPr>
          <w:rFonts w:cs="Tahoma"/>
          <w:sz w:val="22"/>
          <w:szCs w:val="22"/>
        </w:rPr>
        <w:t>un</w:t>
      </w:r>
      <w:r w:rsidR="00BA0ABB" w:rsidRPr="00041474">
        <w:rPr>
          <w:rFonts w:cs="Tahoma"/>
          <w:sz w:val="22"/>
          <w:szCs w:val="22"/>
        </w:rPr>
        <w:t xml:space="preserve"> livello elevato</w:t>
      </w:r>
      <w:r w:rsidRPr="00041474">
        <w:rPr>
          <w:rFonts w:cs="Tahoma"/>
          <w:sz w:val="22"/>
          <w:szCs w:val="22"/>
        </w:rPr>
        <w:t xml:space="preserve"> di sofferenza economica</w:t>
      </w:r>
      <w:r w:rsidR="00BA0ABB" w:rsidRPr="00041474">
        <w:rPr>
          <w:rFonts w:cs="Tahoma"/>
          <w:sz w:val="22"/>
          <w:szCs w:val="22"/>
        </w:rPr>
        <w:t xml:space="preserve"> (zone arancioni</w:t>
      </w:r>
      <w:r w:rsidR="005E6A3B" w:rsidRPr="00041474">
        <w:rPr>
          <w:rFonts w:cs="Tahoma"/>
          <w:sz w:val="22"/>
          <w:szCs w:val="22"/>
        </w:rPr>
        <w:t xml:space="preserve">) </w:t>
      </w:r>
      <w:r w:rsidR="001D6BA9" w:rsidRPr="00041474">
        <w:rPr>
          <w:rFonts w:cs="Tahoma"/>
          <w:sz w:val="22"/>
          <w:szCs w:val="22"/>
        </w:rPr>
        <w:t>si colloca</w:t>
      </w:r>
      <w:r w:rsidR="005E6A3B" w:rsidRPr="00041474">
        <w:rPr>
          <w:rFonts w:cs="Tahoma"/>
          <w:sz w:val="22"/>
          <w:szCs w:val="22"/>
        </w:rPr>
        <w:t xml:space="preserve">no: </w:t>
      </w:r>
      <w:r w:rsidRPr="00041474">
        <w:rPr>
          <w:rFonts w:cs="Tahoma"/>
          <w:sz w:val="22"/>
          <w:szCs w:val="22"/>
        </w:rPr>
        <w:t>Marche (104,5 punti), Friuli-Venezia Giulia (102,7 punti), Lombardia</w:t>
      </w:r>
      <w:r w:rsidR="001D6BA9" w:rsidRPr="00041474">
        <w:rPr>
          <w:rFonts w:cs="Tahoma"/>
          <w:sz w:val="22"/>
          <w:szCs w:val="22"/>
        </w:rPr>
        <w:t xml:space="preserve"> </w:t>
      </w:r>
      <w:r w:rsidRPr="00041474">
        <w:rPr>
          <w:rFonts w:cs="Tahoma"/>
          <w:sz w:val="22"/>
          <w:szCs w:val="22"/>
        </w:rPr>
        <w:t>(102,6</w:t>
      </w:r>
      <w:r w:rsidR="001D6BA9" w:rsidRPr="00041474">
        <w:rPr>
          <w:rFonts w:cs="Tahoma"/>
          <w:sz w:val="22"/>
          <w:szCs w:val="22"/>
        </w:rPr>
        <w:t xml:space="preserve"> punti), </w:t>
      </w:r>
      <w:r w:rsidRPr="00041474">
        <w:rPr>
          <w:rFonts w:cs="Tahoma"/>
          <w:sz w:val="22"/>
          <w:szCs w:val="22"/>
        </w:rPr>
        <w:t>Emilia-Romagna (101,7</w:t>
      </w:r>
      <w:r w:rsidR="001D6BA9" w:rsidRPr="00041474">
        <w:rPr>
          <w:rFonts w:cs="Tahoma"/>
          <w:sz w:val="22"/>
          <w:szCs w:val="22"/>
        </w:rPr>
        <w:t xml:space="preserve"> punti)</w:t>
      </w:r>
      <w:r w:rsidRPr="00041474">
        <w:rPr>
          <w:rFonts w:cs="Tahoma"/>
          <w:sz w:val="22"/>
          <w:szCs w:val="22"/>
        </w:rPr>
        <w:t xml:space="preserve"> e Sardegna (100,6 punti)</w:t>
      </w:r>
      <w:r w:rsidR="001D6BA9" w:rsidRPr="00041474">
        <w:rPr>
          <w:rFonts w:cs="Tahoma"/>
          <w:sz w:val="22"/>
          <w:szCs w:val="22"/>
        </w:rPr>
        <w:t>. E, ancora,</w:t>
      </w:r>
      <w:r w:rsidRPr="00041474">
        <w:rPr>
          <w:rFonts w:cs="Tahoma"/>
          <w:sz w:val="22"/>
          <w:szCs w:val="22"/>
        </w:rPr>
        <w:t xml:space="preserve"> Lazio (99,7 punti), Umbria (99,6</w:t>
      </w:r>
      <w:r w:rsidR="001D6BA9" w:rsidRPr="00041474">
        <w:rPr>
          <w:rFonts w:cs="Tahoma"/>
          <w:sz w:val="22"/>
          <w:szCs w:val="22"/>
        </w:rPr>
        <w:t xml:space="preserve"> punti), </w:t>
      </w:r>
      <w:r w:rsidRPr="00041474">
        <w:rPr>
          <w:rFonts w:cs="Tahoma"/>
          <w:sz w:val="22"/>
          <w:szCs w:val="22"/>
        </w:rPr>
        <w:t>Campania (99,3 punti), Toscana</w:t>
      </w:r>
      <w:r w:rsidR="001D6BA9" w:rsidRPr="00041474">
        <w:rPr>
          <w:rFonts w:cs="Tahoma"/>
          <w:sz w:val="22"/>
          <w:szCs w:val="22"/>
        </w:rPr>
        <w:t xml:space="preserve"> </w:t>
      </w:r>
      <w:r w:rsidRPr="00041474">
        <w:rPr>
          <w:rFonts w:cs="Tahoma"/>
          <w:sz w:val="22"/>
          <w:szCs w:val="22"/>
        </w:rPr>
        <w:t>(98,5) e Puglia (98,1</w:t>
      </w:r>
      <w:r w:rsidR="001D6BA9" w:rsidRPr="00041474">
        <w:rPr>
          <w:rFonts w:cs="Tahoma"/>
          <w:sz w:val="22"/>
          <w:szCs w:val="22"/>
        </w:rPr>
        <w:t xml:space="preserve"> punti).</w:t>
      </w:r>
      <w:r w:rsidR="005E6A3B" w:rsidRPr="00041474">
        <w:rPr>
          <w:rFonts w:cs="Tahoma"/>
          <w:sz w:val="22"/>
          <w:szCs w:val="22"/>
        </w:rPr>
        <w:t xml:space="preserve"> </w:t>
      </w:r>
    </w:p>
    <w:p w14:paraId="09D2BF88" w14:textId="2978AB96" w:rsidR="001D6BA9" w:rsidRPr="00F204FC" w:rsidRDefault="005E6A3B" w:rsidP="001D6BA9">
      <w:pPr>
        <w:pStyle w:val="Intestazione"/>
        <w:tabs>
          <w:tab w:val="left" w:pos="709"/>
          <w:tab w:val="left" w:pos="1418"/>
          <w:tab w:val="left" w:pos="2890"/>
        </w:tabs>
        <w:ind w:right="-82"/>
        <w:jc w:val="both"/>
        <w:rPr>
          <w:rFonts w:cs="Tahoma"/>
          <w:sz w:val="22"/>
          <w:szCs w:val="22"/>
        </w:rPr>
      </w:pPr>
      <w:r w:rsidRPr="00041474">
        <w:rPr>
          <w:rFonts w:cs="Tahoma"/>
          <w:sz w:val="22"/>
          <w:szCs w:val="22"/>
        </w:rPr>
        <w:t>A subire</w:t>
      </w:r>
      <w:r w:rsidR="00905C00" w:rsidRPr="00041474">
        <w:rPr>
          <w:rFonts w:cs="Tahoma"/>
          <w:sz w:val="22"/>
          <w:szCs w:val="22"/>
        </w:rPr>
        <w:t>, infine,</w:t>
      </w:r>
      <w:r w:rsidRPr="00041474">
        <w:rPr>
          <w:rFonts w:cs="Tahoma"/>
          <w:sz w:val="22"/>
          <w:szCs w:val="22"/>
        </w:rPr>
        <w:t xml:space="preserve"> un livello</w:t>
      </w:r>
      <w:r w:rsidR="00905C00" w:rsidRPr="00041474">
        <w:rPr>
          <w:rFonts w:cs="Tahoma"/>
          <w:sz w:val="22"/>
          <w:szCs w:val="22"/>
        </w:rPr>
        <w:t xml:space="preserve"> moderatamente </w:t>
      </w:r>
      <w:r w:rsidRPr="00041474">
        <w:rPr>
          <w:rFonts w:cs="Tahoma"/>
          <w:sz w:val="22"/>
          <w:szCs w:val="22"/>
        </w:rPr>
        <w:t>elevato</w:t>
      </w:r>
      <w:r w:rsidR="00BA0ABB" w:rsidRPr="00041474">
        <w:rPr>
          <w:rFonts w:cs="Tahoma"/>
          <w:sz w:val="22"/>
          <w:szCs w:val="22"/>
        </w:rPr>
        <w:t xml:space="preserve"> (zone gialle</w:t>
      </w:r>
      <w:r w:rsidR="00905C00" w:rsidRPr="00041474">
        <w:rPr>
          <w:rFonts w:cs="Tahoma"/>
          <w:sz w:val="22"/>
          <w:szCs w:val="22"/>
        </w:rPr>
        <w:t>)</w:t>
      </w:r>
      <w:r w:rsidRPr="00041474">
        <w:rPr>
          <w:rFonts w:cs="Tahoma"/>
          <w:sz w:val="22"/>
          <w:szCs w:val="22"/>
        </w:rPr>
        <w:t xml:space="preserve"> dell’impatto dovuto al Covid-19, ergo significativamente “meno sofferente” rispetto agli altri, altr</w:t>
      </w:r>
      <w:r w:rsidR="00A72B96">
        <w:rPr>
          <w:rFonts w:cs="Tahoma"/>
          <w:sz w:val="22"/>
          <w:szCs w:val="22"/>
        </w:rPr>
        <w:t>i</w:t>
      </w:r>
      <w:r w:rsidRPr="00041474">
        <w:rPr>
          <w:rFonts w:cs="Tahoma"/>
          <w:sz w:val="22"/>
          <w:szCs w:val="22"/>
        </w:rPr>
        <w:t xml:space="preserve"> cinque sistemi locali: </w:t>
      </w:r>
      <w:r w:rsidR="00041474" w:rsidRPr="00041474">
        <w:rPr>
          <w:rFonts w:cs="Tahoma"/>
          <w:sz w:val="22"/>
          <w:szCs w:val="22"/>
        </w:rPr>
        <w:t>Valle d’Aosta (96,5 punti), Sicilia (95,1 punti), Molise</w:t>
      </w:r>
      <w:r w:rsidRPr="00041474">
        <w:rPr>
          <w:rFonts w:cs="Tahoma"/>
          <w:sz w:val="22"/>
          <w:szCs w:val="22"/>
        </w:rPr>
        <w:t xml:space="preserve"> (94,</w:t>
      </w:r>
      <w:r w:rsidR="00041474" w:rsidRPr="00041474">
        <w:rPr>
          <w:rFonts w:cs="Tahoma"/>
          <w:sz w:val="22"/>
          <w:szCs w:val="22"/>
        </w:rPr>
        <w:t>0 punti), Abruzzo (93,8 punti) e Basilicata (90,0</w:t>
      </w:r>
      <w:r w:rsidRPr="00041474">
        <w:rPr>
          <w:rFonts w:cs="Tahoma"/>
          <w:sz w:val="22"/>
          <w:szCs w:val="22"/>
        </w:rPr>
        <w:t xml:space="preserve"> punti).</w:t>
      </w:r>
    </w:p>
    <w:p w14:paraId="750A8750" w14:textId="77777777" w:rsidR="001D6BA9" w:rsidRPr="00A17B34" w:rsidRDefault="001D6BA9" w:rsidP="001D6BA9">
      <w:pPr>
        <w:pStyle w:val="Intestazione"/>
        <w:tabs>
          <w:tab w:val="left" w:pos="709"/>
          <w:tab w:val="left" w:pos="1418"/>
          <w:tab w:val="left" w:pos="2890"/>
        </w:tabs>
        <w:ind w:right="-82"/>
        <w:jc w:val="both"/>
        <w:rPr>
          <w:rFonts w:cs="Tahoma"/>
          <w:b/>
          <w:bCs/>
          <w:kern w:val="36"/>
          <w:sz w:val="22"/>
          <w:szCs w:val="22"/>
        </w:rPr>
      </w:pPr>
    </w:p>
    <w:p w14:paraId="2FF61022" w14:textId="77777777" w:rsidR="00CC3258" w:rsidRPr="00A17B34" w:rsidRDefault="00CC3258" w:rsidP="00CC3258">
      <w:pPr>
        <w:pStyle w:val="Titolo1"/>
        <w:shd w:val="clear" w:color="auto" w:fill="FFFFFF"/>
        <w:spacing w:before="0" w:beforeAutospacing="0" w:after="0" w:afterAutospacing="0"/>
        <w:jc w:val="both"/>
        <w:rPr>
          <w:rFonts w:asciiTheme="minorHAnsi" w:hAnsiTheme="minorHAnsi" w:cs="Tahoma"/>
          <w:b w:val="0"/>
          <w:sz w:val="22"/>
          <w:szCs w:val="22"/>
        </w:rPr>
      </w:pPr>
      <w:r w:rsidRPr="00A17B34">
        <w:rPr>
          <w:rFonts w:asciiTheme="minorHAnsi" w:hAnsiTheme="minorHAnsi" w:cs="Tahoma"/>
          <w:sz w:val="22"/>
          <w:szCs w:val="22"/>
        </w:rPr>
        <w:t xml:space="preserve">Disagio economico: la pandemia fa piombare 369 mila famiglie in più in condizione di povertà. </w:t>
      </w:r>
      <w:r w:rsidRPr="00A17B34">
        <w:rPr>
          <w:rFonts w:asciiTheme="minorHAnsi" w:hAnsiTheme="minorHAnsi" w:cs="Tahoma"/>
          <w:b w:val="0"/>
          <w:sz w:val="22"/>
          <w:szCs w:val="22"/>
        </w:rPr>
        <w:t>Oltre 369 mila famiglie in più in condizione di povertà relativa la cui incidenza viene calcolata, secondo la definizione dell’Istat, sulla base di una soglia convenzionale (linea di povertà) che individua il valore di spesa per consumi al di sotto del quale una famiglia viene definita povera in termini relativi.</w:t>
      </w:r>
      <w:r w:rsidRPr="00A17B34">
        <w:rPr>
          <w:rFonts w:asciiTheme="minorHAnsi" w:hAnsiTheme="minorHAnsi"/>
          <w:color w:val="333333"/>
          <w:sz w:val="22"/>
          <w:szCs w:val="22"/>
        </w:rPr>
        <w:t xml:space="preserve"> </w:t>
      </w:r>
    </w:p>
    <w:p w14:paraId="0DD5BCCD" w14:textId="7E5D1D9C" w:rsidR="00CC3258" w:rsidRPr="00A17B34" w:rsidRDefault="00CC3258" w:rsidP="00CC3258">
      <w:pPr>
        <w:pStyle w:val="Titolo1"/>
        <w:shd w:val="clear" w:color="auto" w:fill="FFFFFF"/>
        <w:spacing w:before="0" w:beforeAutospacing="0" w:after="0" w:afterAutospacing="0"/>
        <w:jc w:val="both"/>
        <w:rPr>
          <w:rFonts w:asciiTheme="minorHAnsi" w:hAnsiTheme="minorHAnsi" w:cs="Tahoma"/>
          <w:b w:val="0"/>
          <w:sz w:val="22"/>
          <w:szCs w:val="22"/>
        </w:rPr>
      </w:pPr>
      <w:r w:rsidRPr="00A17B34">
        <w:rPr>
          <w:rFonts w:asciiTheme="minorHAnsi" w:hAnsiTheme="minorHAnsi" w:cs="Tahoma"/>
          <w:b w:val="0"/>
          <w:sz w:val="22"/>
          <w:szCs w:val="22"/>
        </w:rPr>
        <w:t xml:space="preserve">È questo l’impatto dell’emergenza pandemica sull’area del disagio economico stimato da </w:t>
      </w:r>
      <w:proofErr w:type="spellStart"/>
      <w:r w:rsidRPr="00A17B34">
        <w:rPr>
          <w:rFonts w:asciiTheme="minorHAnsi" w:hAnsiTheme="minorHAnsi" w:cs="Tahoma"/>
          <w:b w:val="0"/>
          <w:sz w:val="22"/>
          <w:szCs w:val="22"/>
        </w:rPr>
        <w:t>Demoskopika</w:t>
      </w:r>
      <w:proofErr w:type="spellEnd"/>
      <w:r w:rsidRPr="00A17B34">
        <w:rPr>
          <w:rFonts w:asciiTheme="minorHAnsi" w:hAnsiTheme="minorHAnsi" w:cs="Tahoma"/>
          <w:b w:val="0"/>
          <w:sz w:val="22"/>
          <w:szCs w:val="22"/>
        </w:rPr>
        <w:t xml:space="preserve"> per il 2020. In particolare, aumenterebbe del 2,1 per cento l’incidenza delle famiglie </w:t>
      </w:r>
      <w:r w:rsidRPr="00A17B34">
        <w:rPr>
          <w:rFonts w:asciiTheme="minorHAnsi" w:hAnsiTheme="minorHAnsi" w:cs="Arial"/>
          <w:b w:val="0"/>
          <w:sz w:val="22"/>
          <w:szCs w:val="22"/>
          <w:shd w:val="clear" w:color="auto" w:fill="FFFFFF"/>
        </w:rPr>
        <w:t>con difficoltà economiche nella fruizione di </w:t>
      </w:r>
      <w:hyperlink r:id="rId7" w:tooltip="Bene (economia)" w:history="1">
        <w:r w:rsidRPr="00A17B34">
          <w:rPr>
            <w:rFonts w:asciiTheme="minorHAnsi" w:hAnsiTheme="minorHAnsi"/>
            <w:b w:val="0"/>
            <w:sz w:val="22"/>
            <w:szCs w:val="22"/>
          </w:rPr>
          <w:t>beni</w:t>
        </w:r>
      </w:hyperlink>
      <w:r w:rsidRPr="00A17B34">
        <w:rPr>
          <w:rFonts w:asciiTheme="minorHAnsi" w:hAnsiTheme="minorHAnsi" w:cs="Arial"/>
          <w:b w:val="0"/>
          <w:sz w:val="22"/>
          <w:szCs w:val="22"/>
          <w:shd w:val="clear" w:color="auto" w:fill="FFFFFF"/>
        </w:rPr>
        <w:t> e </w:t>
      </w:r>
      <w:hyperlink r:id="rId8" w:history="1">
        <w:r w:rsidRPr="00A17B34">
          <w:rPr>
            <w:rFonts w:asciiTheme="minorHAnsi" w:hAnsiTheme="minorHAnsi"/>
            <w:b w:val="0"/>
            <w:sz w:val="22"/>
            <w:szCs w:val="22"/>
          </w:rPr>
          <w:t>servizi</w:t>
        </w:r>
      </w:hyperlink>
      <w:r w:rsidRPr="00A17B34">
        <w:rPr>
          <w:rFonts w:asciiTheme="minorHAnsi" w:hAnsiTheme="minorHAnsi" w:cs="Arial"/>
          <w:b w:val="0"/>
          <w:sz w:val="22"/>
          <w:szCs w:val="22"/>
          <w:shd w:val="clear" w:color="auto" w:fill="FFFFFF"/>
        </w:rPr>
        <w:t xml:space="preserve">, </w:t>
      </w:r>
      <w:r w:rsidRPr="00A17B34">
        <w:rPr>
          <w:rFonts w:asciiTheme="minorHAnsi" w:hAnsiTheme="minorHAnsi" w:cs="Tahoma"/>
          <w:b w:val="0"/>
          <w:sz w:val="22"/>
          <w:szCs w:val="22"/>
        </w:rPr>
        <w:t xml:space="preserve"> sul totale dell’universo dei nuclei familiari italiani: si passa dall’11,4 per cento del 2019 al 13,5 per cento del 2020. Sono tutte del Nord le realtà territoriali con la maggiore incidenza della povertà relativa. Nel dettaglio, sono oltre 56 mila, con un incremento dell’ar</w:t>
      </w:r>
      <w:r w:rsidR="00905C00" w:rsidRPr="00A17B34">
        <w:rPr>
          <w:rFonts w:asciiTheme="minorHAnsi" w:hAnsiTheme="minorHAnsi" w:cs="Tahoma"/>
          <w:b w:val="0"/>
          <w:sz w:val="22"/>
          <w:szCs w:val="22"/>
        </w:rPr>
        <w:t>ea del disagio economico pari a 2,7 punti percentuali</w:t>
      </w:r>
      <w:r w:rsidRPr="00A17B34">
        <w:rPr>
          <w:rFonts w:asciiTheme="minorHAnsi" w:hAnsiTheme="minorHAnsi" w:cs="Tahoma"/>
          <w:b w:val="0"/>
          <w:sz w:val="22"/>
          <w:szCs w:val="22"/>
        </w:rPr>
        <w:t xml:space="preserve">, i nuclei familiari del Veneto piombati, causa crisi pandemica, nella condizione di povertà relativa. A seguire la Liguria con oltre 18 mila famiglie, pari ad </w:t>
      </w:r>
      <w:r w:rsidR="00905C00" w:rsidRPr="00A17B34">
        <w:rPr>
          <w:rFonts w:asciiTheme="minorHAnsi" w:hAnsiTheme="minorHAnsi" w:cs="Tahoma"/>
          <w:b w:val="0"/>
          <w:sz w:val="22"/>
          <w:szCs w:val="22"/>
        </w:rPr>
        <w:t xml:space="preserve">una crescita di 2,4 punti percentuali </w:t>
      </w:r>
      <w:r w:rsidRPr="00A17B34">
        <w:rPr>
          <w:rFonts w:asciiTheme="minorHAnsi" w:hAnsiTheme="minorHAnsi" w:cs="Tahoma"/>
          <w:b w:val="0"/>
          <w:sz w:val="22"/>
          <w:szCs w:val="22"/>
        </w:rPr>
        <w:t>e il Piemonte con circa 40 mila famigli</w:t>
      </w:r>
      <w:r w:rsidR="00905C00" w:rsidRPr="00A17B34">
        <w:rPr>
          <w:rFonts w:asciiTheme="minorHAnsi" w:hAnsiTheme="minorHAnsi" w:cs="Tahoma"/>
          <w:b w:val="0"/>
          <w:sz w:val="22"/>
          <w:szCs w:val="22"/>
        </w:rPr>
        <w:t>e, pari ad un incremento di 2 punti</w:t>
      </w:r>
      <w:r w:rsidRPr="00A17B34">
        <w:rPr>
          <w:rFonts w:asciiTheme="minorHAnsi" w:hAnsiTheme="minorHAnsi" w:cs="Tahoma"/>
          <w:b w:val="0"/>
          <w:sz w:val="22"/>
          <w:szCs w:val="22"/>
        </w:rPr>
        <w:t xml:space="preserve"> </w:t>
      </w:r>
      <w:r w:rsidR="00905C00" w:rsidRPr="00A17B34">
        <w:rPr>
          <w:rFonts w:asciiTheme="minorHAnsi" w:hAnsiTheme="minorHAnsi" w:cs="Tahoma"/>
          <w:b w:val="0"/>
          <w:sz w:val="22"/>
          <w:szCs w:val="22"/>
        </w:rPr>
        <w:t>percentuali</w:t>
      </w:r>
      <w:r w:rsidRPr="00A17B34">
        <w:rPr>
          <w:rFonts w:asciiTheme="minorHAnsi" w:hAnsiTheme="minorHAnsi" w:cs="Tahoma"/>
          <w:b w:val="0"/>
          <w:sz w:val="22"/>
          <w:szCs w:val="22"/>
        </w:rPr>
        <w:t xml:space="preserve">. In direzione opposta, </w:t>
      </w:r>
      <w:r w:rsidRPr="0028431B">
        <w:rPr>
          <w:rFonts w:asciiTheme="minorHAnsi" w:hAnsiTheme="minorHAnsi" w:cs="Tahoma"/>
          <w:b w:val="0"/>
          <w:sz w:val="22"/>
          <w:szCs w:val="22"/>
        </w:rPr>
        <w:t>s</w:t>
      </w:r>
      <w:r w:rsidR="0028431B" w:rsidRPr="0028431B">
        <w:rPr>
          <w:rFonts w:asciiTheme="minorHAnsi" w:hAnsiTheme="minorHAnsi" w:cs="Tahoma"/>
          <w:b w:val="0"/>
          <w:sz w:val="22"/>
          <w:szCs w:val="22"/>
        </w:rPr>
        <w:t>ono tutti</w:t>
      </w:r>
      <w:r w:rsidRPr="0028431B">
        <w:rPr>
          <w:rFonts w:asciiTheme="minorHAnsi" w:hAnsiTheme="minorHAnsi" w:cs="Tahoma"/>
          <w:b w:val="0"/>
          <w:sz w:val="22"/>
          <w:szCs w:val="22"/>
        </w:rPr>
        <w:t xml:space="preserve"> nel Mezzogiorno</w:t>
      </w:r>
      <w:r w:rsidRPr="00A17B34">
        <w:rPr>
          <w:rFonts w:asciiTheme="minorHAnsi" w:hAnsiTheme="minorHAnsi" w:cs="Tahoma"/>
          <w:b w:val="0"/>
          <w:sz w:val="22"/>
          <w:szCs w:val="22"/>
        </w:rPr>
        <w:t>, i sistemi regionali con un incremento meno rilevante del fenomeno: Sardegna con oltre 3,6 mila famiglie (+0,5</w:t>
      </w:r>
      <w:r w:rsidR="00795609" w:rsidRPr="00A17B34">
        <w:rPr>
          <w:rFonts w:asciiTheme="minorHAnsi" w:hAnsiTheme="minorHAnsi" w:cs="Tahoma"/>
          <w:b w:val="0"/>
          <w:sz w:val="22"/>
          <w:szCs w:val="22"/>
        </w:rPr>
        <w:t xml:space="preserve"> punti percentuali</w:t>
      </w:r>
      <w:r w:rsidRPr="00A17B34">
        <w:rPr>
          <w:rFonts w:asciiTheme="minorHAnsi" w:hAnsiTheme="minorHAnsi" w:cs="Tahoma"/>
          <w:b w:val="0"/>
          <w:sz w:val="22"/>
          <w:szCs w:val="22"/>
        </w:rPr>
        <w:t xml:space="preserve">) e, infine, Molise, Abruzzo e Basilicata rispettivamente con 786 nuclei familiari, </w:t>
      </w:r>
      <w:r w:rsidRPr="00487BD5">
        <w:rPr>
          <w:rFonts w:asciiTheme="minorHAnsi" w:hAnsiTheme="minorHAnsi" w:cs="Tahoma"/>
          <w:b w:val="0"/>
          <w:sz w:val="22"/>
          <w:szCs w:val="22"/>
        </w:rPr>
        <w:t>3,4</w:t>
      </w:r>
      <w:r w:rsidRPr="00A17B34">
        <w:rPr>
          <w:rFonts w:asciiTheme="minorHAnsi" w:hAnsiTheme="minorHAnsi" w:cs="Tahoma"/>
          <w:b w:val="0"/>
          <w:sz w:val="22"/>
          <w:szCs w:val="22"/>
        </w:rPr>
        <w:t xml:space="preserve"> mila nuclei e 1,4 mila nuclei con un’incidenza della povertà relativa sul totale delle famiglie per ciascuna regione pari allo 0,6 per cento.</w:t>
      </w:r>
    </w:p>
    <w:p w14:paraId="5BB8ACC8" w14:textId="77777777" w:rsidR="00D060CA" w:rsidRPr="00A17B34" w:rsidRDefault="00D060CA" w:rsidP="00CC3258">
      <w:pPr>
        <w:pStyle w:val="Intestazione"/>
        <w:tabs>
          <w:tab w:val="left" w:pos="709"/>
          <w:tab w:val="left" w:pos="1418"/>
          <w:tab w:val="left" w:pos="2890"/>
        </w:tabs>
        <w:ind w:right="-82"/>
        <w:jc w:val="both"/>
        <w:rPr>
          <w:rFonts w:cs="Tahoma"/>
          <w:b/>
          <w:bCs/>
          <w:kern w:val="36"/>
          <w:sz w:val="22"/>
          <w:szCs w:val="22"/>
        </w:rPr>
      </w:pPr>
    </w:p>
    <w:p w14:paraId="56C96A38" w14:textId="128FBA36" w:rsidR="00CC3258" w:rsidRPr="006A6142" w:rsidRDefault="00CC3258" w:rsidP="00CC3258">
      <w:pPr>
        <w:pStyle w:val="Intestazione"/>
        <w:tabs>
          <w:tab w:val="left" w:pos="709"/>
          <w:tab w:val="left" w:pos="1418"/>
          <w:tab w:val="left" w:pos="2890"/>
        </w:tabs>
        <w:ind w:right="-82"/>
        <w:jc w:val="both"/>
        <w:rPr>
          <w:sz w:val="22"/>
          <w:szCs w:val="22"/>
        </w:rPr>
      </w:pPr>
      <w:r w:rsidRPr="008335F4">
        <w:rPr>
          <w:rFonts w:cs="Tahoma"/>
          <w:b/>
          <w:bCs/>
          <w:kern w:val="36"/>
          <w:sz w:val="22"/>
          <w:szCs w:val="22"/>
        </w:rPr>
        <w:t xml:space="preserve">Lavoro: crollano </w:t>
      </w:r>
      <w:r w:rsidR="00A96B3E" w:rsidRPr="008335F4">
        <w:rPr>
          <w:rFonts w:cs="Tahoma"/>
          <w:b/>
          <w:bCs/>
          <w:kern w:val="36"/>
          <w:sz w:val="22"/>
          <w:szCs w:val="22"/>
        </w:rPr>
        <w:t>gli occupati</w:t>
      </w:r>
      <w:r w:rsidRPr="008335F4">
        <w:rPr>
          <w:rFonts w:cs="Tahoma"/>
          <w:b/>
          <w:bCs/>
          <w:kern w:val="36"/>
          <w:sz w:val="22"/>
          <w:szCs w:val="22"/>
        </w:rPr>
        <w:t xml:space="preserve">. </w:t>
      </w:r>
      <w:r w:rsidR="009D2FA3" w:rsidRPr="008335F4">
        <w:rPr>
          <w:rFonts w:cs="Tahoma"/>
          <w:b/>
          <w:bCs/>
          <w:kern w:val="36"/>
          <w:sz w:val="22"/>
          <w:szCs w:val="22"/>
        </w:rPr>
        <w:t>Maglia nera per Sardegna, Calabria e Molise</w:t>
      </w:r>
      <w:r w:rsidRPr="008335F4">
        <w:rPr>
          <w:rFonts w:cs="Tahoma"/>
          <w:b/>
          <w:bCs/>
          <w:kern w:val="36"/>
          <w:sz w:val="22"/>
          <w:szCs w:val="22"/>
        </w:rPr>
        <w:t xml:space="preserve">. </w:t>
      </w:r>
      <w:r w:rsidRPr="008335F4">
        <w:rPr>
          <w:sz w:val="22"/>
          <w:szCs w:val="22"/>
        </w:rPr>
        <w:t xml:space="preserve">La crisi innescata dall’emergenza Covid-19, ha reso più vulnerabile anche il mercato del lavoro.  Secondo gli ultimi dati </w:t>
      </w:r>
      <w:r w:rsidR="008335F4" w:rsidRPr="008335F4">
        <w:rPr>
          <w:sz w:val="22"/>
          <w:szCs w:val="22"/>
        </w:rPr>
        <w:t>dell’Istat su base regionale</w:t>
      </w:r>
      <w:r w:rsidRPr="008335F4">
        <w:rPr>
          <w:sz w:val="22"/>
          <w:szCs w:val="22"/>
        </w:rPr>
        <w:t xml:space="preserve">, </w:t>
      </w:r>
      <w:r w:rsidR="008335F4" w:rsidRPr="008335F4">
        <w:rPr>
          <w:sz w:val="22"/>
          <w:szCs w:val="22"/>
        </w:rPr>
        <w:t>nel</w:t>
      </w:r>
      <w:r w:rsidRPr="008335F4">
        <w:rPr>
          <w:sz w:val="22"/>
          <w:szCs w:val="22"/>
        </w:rPr>
        <w:t xml:space="preserve"> 2020 </w:t>
      </w:r>
      <w:r w:rsidR="008335F4" w:rsidRPr="008335F4">
        <w:rPr>
          <w:sz w:val="22"/>
          <w:szCs w:val="22"/>
        </w:rPr>
        <w:t xml:space="preserve">gli occupati hanno registrato una brusca frenata pari al 2 per cento: oltre 456 mila individui con un’occupazione in meno </w:t>
      </w:r>
      <w:r w:rsidR="0028431B" w:rsidRPr="0028431B">
        <w:rPr>
          <w:sz w:val="22"/>
          <w:szCs w:val="22"/>
        </w:rPr>
        <w:t xml:space="preserve">di </w:t>
      </w:r>
      <w:r w:rsidR="008335F4" w:rsidRPr="0028431B">
        <w:rPr>
          <w:sz w:val="22"/>
          <w:szCs w:val="22"/>
        </w:rPr>
        <w:t>cui</w:t>
      </w:r>
      <w:r w:rsidR="008335F4" w:rsidRPr="008335F4">
        <w:rPr>
          <w:sz w:val="22"/>
          <w:szCs w:val="22"/>
        </w:rPr>
        <w:t xml:space="preserve"> più della metà (55%) ha riguardato soggetti con un posto di lavoro a tempo pieno</w:t>
      </w:r>
      <w:r w:rsidR="008335F4" w:rsidRPr="00AD398A">
        <w:rPr>
          <w:sz w:val="22"/>
          <w:szCs w:val="22"/>
        </w:rPr>
        <w:t>.</w:t>
      </w:r>
      <w:r w:rsidRPr="00AD398A">
        <w:rPr>
          <w:sz w:val="22"/>
          <w:szCs w:val="22"/>
        </w:rPr>
        <w:t xml:space="preserve"> Una situazione ancora più </w:t>
      </w:r>
      <w:r w:rsidR="00AD398A" w:rsidRPr="00AD398A">
        <w:rPr>
          <w:sz w:val="22"/>
          <w:szCs w:val="22"/>
        </w:rPr>
        <w:t>evidente</w:t>
      </w:r>
      <w:r w:rsidRPr="00AD398A">
        <w:rPr>
          <w:sz w:val="22"/>
          <w:szCs w:val="22"/>
        </w:rPr>
        <w:t xml:space="preserve"> se confrontata al biennio precedent</w:t>
      </w:r>
      <w:r w:rsidR="00AD398A" w:rsidRPr="00AD398A">
        <w:rPr>
          <w:sz w:val="22"/>
          <w:szCs w:val="22"/>
        </w:rPr>
        <w:t>e: nel 2019</w:t>
      </w:r>
      <w:r w:rsidRPr="00AD398A">
        <w:rPr>
          <w:sz w:val="22"/>
          <w:szCs w:val="22"/>
        </w:rPr>
        <w:t xml:space="preserve">, in particolare, si è registrata una crescita </w:t>
      </w:r>
      <w:r w:rsidR="00AD398A" w:rsidRPr="00AD398A">
        <w:rPr>
          <w:sz w:val="22"/>
          <w:szCs w:val="22"/>
        </w:rPr>
        <w:t>pari allo 0,6 per cento</w:t>
      </w:r>
      <w:r w:rsidRPr="00AD398A">
        <w:rPr>
          <w:sz w:val="22"/>
          <w:szCs w:val="22"/>
        </w:rPr>
        <w:t xml:space="preserve"> rispetto all’anno preced</w:t>
      </w:r>
      <w:r w:rsidR="00AD398A" w:rsidRPr="00AD398A">
        <w:rPr>
          <w:sz w:val="22"/>
          <w:szCs w:val="22"/>
        </w:rPr>
        <w:t>ente, quantificabile 145</w:t>
      </w:r>
      <w:r w:rsidRPr="00AD398A">
        <w:rPr>
          <w:sz w:val="22"/>
          <w:szCs w:val="22"/>
        </w:rPr>
        <w:t xml:space="preserve"> mila </w:t>
      </w:r>
      <w:r w:rsidR="00AD398A" w:rsidRPr="00AD398A">
        <w:rPr>
          <w:sz w:val="22"/>
          <w:szCs w:val="22"/>
        </w:rPr>
        <w:t xml:space="preserve">nuovi occupati a tempo pieno e parziale </w:t>
      </w:r>
      <w:r w:rsidRPr="00AD398A">
        <w:rPr>
          <w:sz w:val="22"/>
          <w:szCs w:val="22"/>
        </w:rPr>
        <w:t xml:space="preserve">mentre nello </w:t>
      </w:r>
      <w:r w:rsidRPr="006A6142">
        <w:rPr>
          <w:sz w:val="22"/>
          <w:szCs w:val="22"/>
        </w:rPr>
        <w:t>stesso periodo del 2018 l’incremento è stato pari al</w:t>
      </w:r>
      <w:r w:rsidR="00AD398A" w:rsidRPr="006A6142">
        <w:rPr>
          <w:sz w:val="22"/>
          <w:szCs w:val="22"/>
        </w:rPr>
        <w:t xml:space="preserve">lo 0,8 per </w:t>
      </w:r>
      <w:r w:rsidRPr="006A6142">
        <w:rPr>
          <w:sz w:val="22"/>
          <w:szCs w:val="22"/>
        </w:rPr>
        <w:t xml:space="preserve">cento </w:t>
      </w:r>
      <w:r w:rsidR="00AD398A" w:rsidRPr="006A6142">
        <w:rPr>
          <w:sz w:val="22"/>
          <w:szCs w:val="22"/>
        </w:rPr>
        <w:t>con 192 mila occupati in più.</w:t>
      </w:r>
    </w:p>
    <w:p w14:paraId="07FCBFF6" w14:textId="77777777" w:rsidR="00CC3258" w:rsidRPr="00A17B34" w:rsidRDefault="00CC3258" w:rsidP="00CC3258">
      <w:pPr>
        <w:pStyle w:val="Intestazione"/>
        <w:tabs>
          <w:tab w:val="left" w:pos="709"/>
          <w:tab w:val="left" w:pos="1418"/>
          <w:tab w:val="left" w:pos="2890"/>
        </w:tabs>
        <w:ind w:right="-82"/>
        <w:jc w:val="both"/>
        <w:rPr>
          <w:sz w:val="22"/>
          <w:szCs w:val="22"/>
        </w:rPr>
      </w:pPr>
      <w:r w:rsidRPr="006A6142">
        <w:rPr>
          <w:sz w:val="22"/>
          <w:szCs w:val="22"/>
        </w:rPr>
        <w:t xml:space="preserve">A livello regionale, sono principalmente sette i sistemi locali ad aver </w:t>
      </w:r>
      <w:r w:rsidR="006A6142" w:rsidRPr="006A6142">
        <w:rPr>
          <w:sz w:val="22"/>
          <w:szCs w:val="22"/>
        </w:rPr>
        <w:t>perso per strada,</w:t>
      </w:r>
      <w:r w:rsidRPr="006A6142">
        <w:rPr>
          <w:sz w:val="22"/>
          <w:szCs w:val="22"/>
        </w:rPr>
        <w:t xml:space="preserve"> più significativamente</w:t>
      </w:r>
      <w:r w:rsidR="006A6142" w:rsidRPr="006A6142">
        <w:rPr>
          <w:sz w:val="22"/>
          <w:szCs w:val="22"/>
        </w:rPr>
        <w:t>,</w:t>
      </w:r>
      <w:r w:rsidRPr="006A6142">
        <w:rPr>
          <w:sz w:val="22"/>
          <w:szCs w:val="22"/>
        </w:rPr>
        <w:t xml:space="preserve"> </w:t>
      </w:r>
      <w:r w:rsidR="006A6142" w:rsidRPr="006A6142">
        <w:rPr>
          <w:sz w:val="22"/>
          <w:szCs w:val="22"/>
        </w:rPr>
        <w:t>il numero degli occupati: Sardegna</w:t>
      </w:r>
      <w:r w:rsidRPr="006A6142">
        <w:rPr>
          <w:sz w:val="22"/>
          <w:szCs w:val="22"/>
        </w:rPr>
        <w:t xml:space="preserve"> con una contrazione </w:t>
      </w:r>
      <w:r w:rsidR="006A6142" w:rsidRPr="006A6142">
        <w:rPr>
          <w:sz w:val="22"/>
          <w:szCs w:val="22"/>
        </w:rPr>
        <w:t>pari al 4,6 per cento (-27.224 occupati), Calabria con il 4,3 per cento (-23.472 occupati) e Molise</w:t>
      </w:r>
      <w:r w:rsidRPr="006A6142">
        <w:rPr>
          <w:sz w:val="22"/>
          <w:szCs w:val="22"/>
        </w:rPr>
        <w:t xml:space="preserve"> con il </w:t>
      </w:r>
      <w:r w:rsidR="006A6142" w:rsidRPr="006A6142">
        <w:rPr>
          <w:sz w:val="22"/>
          <w:szCs w:val="22"/>
        </w:rPr>
        <w:t>3,0 per cento (-3.280 occupati</w:t>
      </w:r>
      <w:r w:rsidRPr="006A6142">
        <w:rPr>
          <w:sz w:val="22"/>
          <w:szCs w:val="22"/>
        </w:rPr>
        <w:t xml:space="preserve">). Seguono </w:t>
      </w:r>
      <w:r w:rsidR="006A6142" w:rsidRPr="006A6142">
        <w:rPr>
          <w:sz w:val="22"/>
          <w:szCs w:val="22"/>
        </w:rPr>
        <w:t xml:space="preserve">Piemonte con il 2,8 per cento (-51.503 occupati), Veneto con il 2,4 per cento (-51.553 occupati), </w:t>
      </w:r>
      <w:r w:rsidR="006A6142" w:rsidRPr="006A6142">
        <w:rPr>
          <w:sz w:val="22"/>
          <w:szCs w:val="22"/>
        </w:rPr>
        <w:lastRenderedPageBreak/>
        <w:t>Valle d’Aosta con il 2,4</w:t>
      </w:r>
      <w:r w:rsidRPr="006A6142">
        <w:rPr>
          <w:sz w:val="22"/>
          <w:szCs w:val="22"/>
        </w:rPr>
        <w:t xml:space="preserve"> per cento (-</w:t>
      </w:r>
      <w:r w:rsidR="006A6142" w:rsidRPr="006A6142">
        <w:rPr>
          <w:sz w:val="22"/>
          <w:szCs w:val="22"/>
        </w:rPr>
        <w:t>1.352 occupati), Marche con il 2,2 per cento (-14.100 occupati) e Emilia-Romagna con il 2,1 per cento (-42.807 occupati</w:t>
      </w:r>
      <w:r w:rsidRPr="006A6142">
        <w:rPr>
          <w:sz w:val="22"/>
          <w:szCs w:val="22"/>
        </w:rPr>
        <w:t>).</w:t>
      </w:r>
      <w:r w:rsidRPr="00A17B34">
        <w:rPr>
          <w:sz w:val="22"/>
          <w:szCs w:val="22"/>
        </w:rPr>
        <w:t xml:space="preserve"> </w:t>
      </w:r>
    </w:p>
    <w:p w14:paraId="065CFD23" w14:textId="77777777" w:rsidR="00CC3258" w:rsidRPr="00A17B34" w:rsidRDefault="00CC3258" w:rsidP="001D6BA9">
      <w:pPr>
        <w:pStyle w:val="Intestazione"/>
        <w:tabs>
          <w:tab w:val="left" w:pos="709"/>
          <w:tab w:val="left" w:pos="1418"/>
          <w:tab w:val="left" w:pos="2890"/>
        </w:tabs>
        <w:ind w:right="-82"/>
        <w:jc w:val="both"/>
        <w:rPr>
          <w:rFonts w:cs="Tahoma"/>
          <w:b/>
          <w:bCs/>
          <w:kern w:val="36"/>
          <w:sz w:val="22"/>
          <w:szCs w:val="22"/>
        </w:rPr>
      </w:pPr>
    </w:p>
    <w:p w14:paraId="3867E71B" w14:textId="77777777" w:rsidR="001D6BA9" w:rsidRPr="00A17B34" w:rsidRDefault="001D6BA9" w:rsidP="001D6BA9">
      <w:pPr>
        <w:pStyle w:val="Intestazione"/>
        <w:tabs>
          <w:tab w:val="left" w:pos="709"/>
          <w:tab w:val="left" w:pos="1418"/>
          <w:tab w:val="left" w:pos="2890"/>
        </w:tabs>
        <w:ind w:right="-82"/>
        <w:jc w:val="both"/>
        <w:rPr>
          <w:sz w:val="22"/>
          <w:szCs w:val="22"/>
        </w:rPr>
      </w:pPr>
      <w:r w:rsidRPr="00A17B34">
        <w:rPr>
          <w:rFonts w:cs="Tahoma"/>
          <w:b/>
          <w:bCs/>
          <w:kern w:val="36"/>
          <w:sz w:val="22"/>
          <w:szCs w:val="22"/>
        </w:rPr>
        <w:t xml:space="preserve">Natalità: il Covid-19 frena la voglia di fare impresa. </w:t>
      </w:r>
      <w:r w:rsidRPr="00A17B34">
        <w:rPr>
          <w:sz w:val="22"/>
          <w:szCs w:val="22"/>
        </w:rPr>
        <w:t>L’emergenza pandemica si abbatte sulla voglia di fare impresa. Nel 2020 le dinamiche di natalità rilevate registrano un decremento del 17,2 per cento rispetto al 2019, con 60.744 imprese in meno iscritte.</w:t>
      </w:r>
    </w:p>
    <w:p w14:paraId="0519C3EA" w14:textId="69A579A6" w:rsidR="001D6BA9" w:rsidRPr="00A17B34" w:rsidRDefault="001D6BA9" w:rsidP="001D6BA9">
      <w:pPr>
        <w:pStyle w:val="Intestazione"/>
        <w:tabs>
          <w:tab w:val="left" w:pos="709"/>
          <w:tab w:val="left" w:pos="1418"/>
          <w:tab w:val="left" w:pos="2890"/>
        </w:tabs>
        <w:ind w:right="-82"/>
        <w:jc w:val="both"/>
        <w:rPr>
          <w:sz w:val="22"/>
          <w:szCs w:val="22"/>
        </w:rPr>
      </w:pPr>
      <w:r w:rsidRPr="00A17B34">
        <w:rPr>
          <w:sz w:val="22"/>
          <w:szCs w:val="22"/>
        </w:rPr>
        <w:t xml:space="preserve">Seppur in un quadro complessivo di peggioramento, i dati evidenziano alcune differenze a livello territoriale. A primeggiare negativamente, in termini di variazione percentuale dal 2020 al 2019, il sistema economico delle Marche, con una contrazione del numero delle iscrizioni del 23,9 per cento, pari a 2.120 imprese in meno. Seguono, con una flessione al di sopra della media nazionale, la Liguria con una riduzione della natalità pari al 21,2 per cento (-1.985 imprese), il Piemonte con il </w:t>
      </w:r>
      <w:r w:rsidRPr="00487BD5">
        <w:rPr>
          <w:sz w:val="22"/>
          <w:szCs w:val="22"/>
        </w:rPr>
        <w:t>19,4</w:t>
      </w:r>
      <w:r w:rsidRPr="00A17B34">
        <w:rPr>
          <w:sz w:val="22"/>
          <w:szCs w:val="22"/>
        </w:rPr>
        <w:t xml:space="preserve"> per cento (-5.030 imprese), il Lazio con il 19,2 per cento (-7.675 imprese), l’Emilia</w:t>
      </w:r>
      <w:r w:rsidR="005657C8">
        <w:rPr>
          <w:sz w:val="22"/>
          <w:szCs w:val="22"/>
        </w:rPr>
        <w:t xml:space="preserve"> -</w:t>
      </w:r>
      <w:r w:rsidRPr="00A17B34">
        <w:rPr>
          <w:sz w:val="22"/>
          <w:szCs w:val="22"/>
        </w:rPr>
        <w:t xml:space="preserve"> Romagna con il </w:t>
      </w:r>
      <w:r w:rsidRPr="00487BD5">
        <w:rPr>
          <w:sz w:val="22"/>
          <w:szCs w:val="22"/>
        </w:rPr>
        <w:t>18,5</w:t>
      </w:r>
      <w:r w:rsidRPr="00A17B34">
        <w:rPr>
          <w:sz w:val="22"/>
          <w:szCs w:val="22"/>
        </w:rPr>
        <w:t xml:space="preserve"> per cento (-4.700 imprese), la Toscana con il </w:t>
      </w:r>
      <w:r w:rsidRPr="00487BD5">
        <w:rPr>
          <w:sz w:val="22"/>
          <w:szCs w:val="22"/>
        </w:rPr>
        <w:t>18,1</w:t>
      </w:r>
      <w:r w:rsidRPr="00A17B34">
        <w:rPr>
          <w:sz w:val="22"/>
          <w:szCs w:val="22"/>
        </w:rPr>
        <w:t xml:space="preserve"> per cento (-4.371 imprese). E, ancora, la Lombardia con il 17,6 per cento (-10.270 imprese), il Lazio con il 19,2 per cento (-7.675 imprese) e, infine, il Veneto (-4.627 imprese), la Puglia (-4.125 imprese) e il Trentino-Alto Adige (-1.152 imprese) con una contrazione pari al </w:t>
      </w:r>
      <w:r w:rsidRPr="00487BD5">
        <w:rPr>
          <w:sz w:val="22"/>
          <w:szCs w:val="22"/>
        </w:rPr>
        <w:t>17,5</w:t>
      </w:r>
      <w:r w:rsidRPr="00A17B34">
        <w:rPr>
          <w:sz w:val="22"/>
          <w:szCs w:val="22"/>
        </w:rPr>
        <w:t xml:space="preserve"> per cento.</w:t>
      </w:r>
    </w:p>
    <w:p w14:paraId="487D97F6" w14:textId="77777777" w:rsidR="001D6BA9" w:rsidRPr="00A17B34" w:rsidRDefault="001D6BA9" w:rsidP="001D6BA9">
      <w:pPr>
        <w:pStyle w:val="Intestazione"/>
        <w:tabs>
          <w:tab w:val="left" w:pos="709"/>
          <w:tab w:val="left" w:pos="1418"/>
          <w:tab w:val="left" w:pos="2890"/>
        </w:tabs>
        <w:ind w:right="-82"/>
        <w:jc w:val="both"/>
        <w:rPr>
          <w:sz w:val="22"/>
          <w:szCs w:val="22"/>
        </w:rPr>
      </w:pPr>
    </w:p>
    <w:p w14:paraId="153B9BCD" w14:textId="06D438FF" w:rsidR="001D6BA9" w:rsidRPr="00A17B34" w:rsidRDefault="00660449" w:rsidP="001D6BA9">
      <w:pPr>
        <w:jc w:val="both"/>
        <w:rPr>
          <w:rFonts w:asciiTheme="minorHAnsi" w:hAnsiTheme="minorHAnsi" w:cs="Tahoma"/>
          <w:sz w:val="22"/>
          <w:szCs w:val="22"/>
        </w:rPr>
      </w:pPr>
      <w:r w:rsidRPr="00A17B34">
        <w:rPr>
          <w:rFonts w:asciiTheme="minorHAnsi" w:hAnsiTheme="minorHAnsi" w:cs="Tahoma"/>
          <w:b/>
          <w:bCs/>
          <w:kern w:val="36"/>
          <w:sz w:val="22"/>
          <w:szCs w:val="22"/>
        </w:rPr>
        <w:t>Accesso al credito: aumenta</w:t>
      </w:r>
      <w:r w:rsidR="001D6BA9" w:rsidRPr="00A17B34">
        <w:rPr>
          <w:rFonts w:asciiTheme="minorHAnsi" w:hAnsiTheme="minorHAnsi" w:cs="Tahoma"/>
          <w:b/>
          <w:bCs/>
          <w:kern w:val="36"/>
          <w:sz w:val="22"/>
          <w:szCs w:val="22"/>
        </w:rPr>
        <w:t xml:space="preserve"> </w:t>
      </w:r>
      <w:r w:rsidRPr="00A17B34">
        <w:rPr>
          <w:rFonts w:asciiTheme="minorHAnsi" w:hAnsiTheme="minorHAnsi" w:cs="Tahoma"/>
          <w:b/>
          <w:bCs/>
          <w:kern w:val="36"/>
          <w:sz w:val="22"/>
          <w:szCs w:val="22"/>
        </w:rPr>
        <w:t>l’indebitamento delle</w:t>
      </w:r>
      <w:r w:rsidR="001D6BA9" w:rsidRPr="00A17B34">
        <w:rPr>
          <w:rFonts w:asciiTheme="minorHAnsi" w:hAnsiTheme="minorHAnsi" w:cs="Tahoma"/>
          <w:b/>
          <w:bCs/>
          <w:kern w:val="36"/>
          <w:sz w:val="22"/>
          <w:szCs w:val="22"/>
        </w:rPr>
        <w:t xml:space="preserve"> imprese. </w:t>
      </w:r>
      <w:r w:rsidR="001D6BA9" w:rsidRPr="00A17B34">
        <w:rPr>
          <w:rFonts w:asciiTheme="minorHAnsi" w:hAnsiTheme="minorHAnsi" w:cs="Tahoma"/>
          <w:sz w:val="22"/>
          <w:szCs w:val="22"/>
        </w:rPr>
        <w:t xml:space="preserve">Nei dodici mesi del 2020, </w:t>
      </w:r>
      <w:proofErr w:type="spellStart"/>
      <w:r w:rsidR="001D6BA9" w:rsidRPr="00A17B34">
        <w:rPr>
          <w:rFonts w:asciiTheme="minorHAnsi" w:hAnsiTheme="minorHAnsi" w:cs="Tahoma"/>
          <w:sz w:val="22"/>
          <w:szCs w:val="22"/>
        </w:rPr>
        <w:t>Demoskopika</w:t>
      </w:r>
      <w:proofErr w:type="spellEnd"/>
      <w:r w:rsidR="001D6BA9" w:rsidRPr="00A17B34">
        <w:rPr>
          <w:rFonts w:asciiTheme="minorHAnsi" w:hAnsiTheme="minorHAnsi" w:cs="Tahoma"/>
          <w:sz w:val="22"/>
          <w:szCs w:val="22"/>
        </w:rPr>
        <w:t>, analizzando i dati di Bankitalia, ha rilevato la crescita dei prestiti alle imprese trainate dall’introduzione di consistenti garanzie pubbliche: oltre 42,3 miliardi di aumento del credito alle imprese pari ad un incremento del 6 per cento rispetto al 2019. A livello territoriale, l</w:t>
      </w:r>
      <w:r w:rsidR="001D6BA9" w:rsidRPr="00A17B34">
        <w:rPr>
          <w:rFonts w:asciiTheme="minorHAnsi" w:hAnsiTheme="minorHAnsi"/>
          <w:sz w:val="22"/>
          <w:szCs w:val="22"/>
        </w:rPr>
        <w:t xml:space="preserve">’aumento </w:t>
      </w:r>
      <w:r w:rsidR="001D6BA9" w:rsidRPr="00A17B34">
        <w:rPr>
          <w:rFonts w:asciiTheme="minorHAnsi" w:hAnsiTheme="minorHAnsi" w:cs="Tahoma"/>
          <w:sz w:val="22"/>
          <w:szCs w:val="22"/>
        </w:rPr>
        <w:t>dei bisogni di liquidità del sistema imprenditoriale si è registrato maggiormente in tre realtà regionali: Piemonte con una crescita dei prestiti pari a 9,2 miliardi di euro (+19%), Friuli</w:t>
      </w:r>
      <w:r w:rsidR="00BA6E76">
        <w:rPr>
          <w:rFonts w:asciiTheme="minorHAnsi" w:hAnsiTheme="minorHAnsi" w:cs="Tahoma"/>
          <w:sz w:val="22"/>
          <w:szCs w:val="22"/>
        </w:rPr>
        <w:t>-</w:t>
      </w:r>
      <w:r w:rsidR="001D6BA9" w:rsidRPr="00A17B34">
        <w:rPr>
          <w:rFonts w:asciiTheme="minorHAnsi" w:hAnsiTheme="minorHAnsi" w:cs="Tahoma"/>
          <w:sz w:val="22"/>
          <w:szCs w:val="22"/>
        </w:rPr>
        <w:t xml:space="preserve"> Venezia Giulia con un incremento di 2,3 miliardi di euro (+</w:t>
      </w:r>
      <w:r w:rsidR="001D6BA9" w:rsidRPr="00487BD5">
        <w:rPr>
          <w:rFonts w:asciiTheme="minorHAnsi" w:hAnsiTheme="minorHAnsi" w:cs="Tahoma"/>
          <w:sz w:val="22"/>
          <w:szCs w:val="22"/>
        </w:rPr>
        <w:t>15,7</w:t>
      </w:r>
      <w:r w:rsidR="001D6BA9" w:rsidRPr="00A17B34">
        <w:rPr>
          <w:rFonts w:asciiTheme="minorHAnsi" w:hAnsiTheme="minorHAnsi" w:cs="Tahoma"/>
          <w:sz w:val="22"/>
          <w:szCs w:val="22"/>
        </w:rPr>
        <w:t>%) e il Lazio con un rialzo di 8,1 miliardi di euro (+</w:t>
      </w:r>
      <w:r w:rsidR="001D6BA9" w:rsidRPr="00487BD5">
        <w:rPr>
          <w:rFonts w:asciiTheme="minorHAnsi" w:hAnsiTheme="minorHAnsi" w:cs="Tahoma"/>
          <w:sz w:val="22"/>
          <w:szCs w:val="22"/>
        </w:rPr>
        <w:t>10,3</w:t>
      </w:r>
      <w:r w:rsidR="001D6BA9" w:rsidRPr="00A17B34">
        <w:rPr>
          <w:rFonts w:asciiTheme="minorHAnsi" w:hAnsiTheme="minorHAnsi" w:cs="Tahoma"/>
          <w:sz w:val="22"/>
          <w:szCs w:val="22"/>
        </w:rPr>
        <w:t xml:space="preserve">%) di maggiori crediti alle imprese. Tendenza diametralmente opposta per Abruzzo e Toscana i cui sistemi regionali hanno registrato una flessione dei prestiti alle imprese rispettivamente pari a 185,8 milioni di euro </w:t>
      </w:r>
      <w:r w:rsidR="001D6BA9" w:rsidRPr="00487BD5">
        <w:rPr>
          <w:rFonts w:asciiTheme="minorHAnsi" w:hAnsiTheme="minorHAnsi" w:cs="Tahoma"/>
          <w:sz w:val="22"/>
          <w:szCs w:val="22"/>
        </w:rPr>
        <w:t>(-1,7%)</w:t>
      </w:r>
      <w:r w:rsidR="001D6BA9" w:rsidRPr="00A17B34">
        <w:rPr>
          <w:rFonts w:asciiTheme="minorHAnsi" w:hAnsiTheme="minorHAnsi" w:cs="Tahoma"/>
          <w:sz w:val="22"/>
          <w:szCs w:val="22"/>
        </w:rPr>
        <w:t xml:space="preserve"> e a 107,7 milioni di euro (-0,2%).</w:t>
      </w:r>
    </w:p>
    <w:p w14:paraId="2AD4BC60" w14:textId="77777777" w:rsidR="001D6BA9" w:rsidRPr="00A17B34" w:rsidRDefault="001D6BA9" w:rsidP="001D6BA9">
      <w:pPr>
        <w:jc w:val="both"/>
        <w:rPr>
          <w:rFonts w:asciiTheme="minorHAnsi" w:hAnsiTheme="minorHAnsi" w:cs="Tahoma"/>
          <w:sz w:val="22"/>
          <w:szCs w:val="22"/>
        </w:rPr>
      </w:pPr>
    </w:p>
    <w:p w14:paraId="3E4B6B7E" w14:textId="77777777" w:rsidR="001D6BA9" w:rsidRPr="00A17B34" w:rsidRDefault="001D6BA9" w:rsidP="001D6BA9">
      <w:pPr>
        <w:pStyle w:val="Intestazione"/>
        <w:tabs>
          <w:tab w:val="left" w:pos="709"/>
          <w:tab w:val="left" w:pos="1418"/>
          <w:tab w:val="left" w:pos="2890"/>
        </w:tabs>
        <w:ind w:right="-82"/>
        <w:jc w:val="both"/>
        <w:rPr>
          <w:rFonts w:cs="Tahoma"/>
          <w:sz w:val="22"/>
          <w:szCs w:val="22"/>
        </w:rPr>
      </w:pPr>
      <w:r w:rsidRPr="00A17B34">
        <w:rPr>
          <w:rFonts w:cs="Tahoma"/>
          <w:b/>
          <w:bCs/>
          <w:kern w:val="36"/>
          <w:sz w:val="22"/>
          <w:szCs w:val="22"/>
        </w:rPr>
        <w:t xml:space="preserve">Credito al consumo: cresce </w:t>
      </w:r>
      <w:r w:rsidR="00AA2CE9" w:rsidRPr="00A17B34">
        <w:rPr>
          <w:rFonts w:cs="Tahoma"/>
          <w:b/>
          <w:bCs/>
          <w:kern w:val="36"/>
          <w:sz w:val="22"/>
          <w:szCs w:val="22"/>
        </w:rPr>
        <w:t>la richiesta di liquidità delle</w:t>
      </w:r>
      <w:r w:rsidRPr="00A17B34">
        <w:rPr>
          <w:rFonts w:cs="Tahoma"/>
          <w:b/>
          <w:bCs/>
          <w:kern w:val="36"/>
          <w:sz w:val="22"/>
          <w:szCs w:val="22"/>
        </w:rPr>
        <w:t xml:space="preserve"> famiglie.</w:t>
      </w:r>
      <w:r w:rsidRPr="00A17B34">
        <w:rPr>
          <w:rFonts w:cs="Tahoma"/>
          <w:sz w:val="22"/>
          <w:szCs w:val="22"/>
        </w:rPr>
        <w:t xml:space="preserve"> La crisi innescata dal Covid-19 sembra aver aumentato </w:t>
      </w:r>
      <w:r w:rsidR="006103D8" w:rsidRPr="00A17B34">
        <w:rPr>
          <w:rFonts w:cs="Tahoma"/>
          <w:sz w:val="22"/>
          <w:szCs w:val="22"/>
        </w:rPr>
        <w:t>l’indebitamento</w:t>
      </w:r>
      <w:r w:rsidRPr="00A17B34">
        <w:rPr>
          <w:rFonts w:cs="Tahoma"/>
          <w:sz w:val="22"/>
          <w:szCs w:val="22"/>
        </w:rPr>
        <w:t xml:space="preserve">, a breve termine, </w:t>
      </w:r>
      <w:r w:rsidR="006103D8" w:rsidRPr="00A17B34">
        <w:rPr>
          <w:rFonts w:cs="Tahoma"/>
          <w:sz w:val="22"/>
          <w:szCs w:val="22"/>
        </w:rPr>
        <w:t>delle</w:t>
      </w:r>
      <w:r w:rsidRPr="00A17B34">
        <w:rPr>
          <w:rFonts w:cs="Tahoma"/>
          <w:sz w:val="22"/>
          <w:szCs w:val="22"/>
        </w:rPr>
        <w:t xml:space="preserve"> famiglie per l’acquisto di beni e servizi. Esaminando le dinamiche dei finanziamenti concessi, secondo i dati provvisori per regione di Bankitalia aggiornati al 30 settembre 2020, emerge uno scenario di crescente ricorso del credito al consumo. Ai nuclei familiari sono stati erogati oltre 1,1 miliardi di euro in più rispetto allo stesso periodo del 2019: si è passati dai 137,4 miliardi del 2019 ai 138,5 miliardi del 2020.</w:t>
      </w:r>
    </w:p>
    <w:p w14:paraId="6E679896" w14:textId="77777777" w:rsidR="001D6BA9" w:rsidRPr="00A17B34" w:rsidRDefault="001D6BA9" w:rsidP="001D6BA9">
      <w:pPr>
        <w:pStyle w:val="Intestazione"/>
        <w:tabs>
          <w:tab w:val="left" w:pos="709"/>
          <w:tab w:val="left" w:pos="1418"/>
          <w:tab w:val="left" w:pos="2890"/>
        </w:tabs>
        <w:ind w:right="-82"/>
        <w:jc w:val="both"/>
        <w:rPr>
          <w:rFonts w:cs="Tahoma"/>
          <w:sz w:val="22"/>
          <w:szCs w:val="22"/>
        </w:rPr>
      </w:pPr>
      <w:r w:rsidRPr="00A17B34">
        <w:rPr>
          <w:rFonts w:cs="Tahoma"/>
          <w:sz w:val="22"/>
          <w:szCs w:val="22"/>
        </w:rPr>
        <w:t xml:space="preserve">Analizzando i dati su base regionale, emerge che il maggiore ricorso ai finanziamenti </w:t>
      </w:r>
      <w:r w:rsidRPr="00A17B34">
        <w:rPr>
          <w:color w:val="1D1D1B"/>
          <w:sz w:val="22"/>
          <w:szCs w:val="22"/>
        </w:rPr>
        <w:t>di spesa corrente al fine di sostenere i consumi</w:t>
      </w:r>
      <w:r w:rsidRPr="00A17B34">
        <w:rPr>
          <w:rFonts w:cs="Tahoma"/>
          <w:sz w:val="22"/>
          <w:szCs w:val="22"/>
        </w:rPr>
        <w:t xml:space="preserve"> si è registrato principalmente tra le famiglie del Trentino-Alto Adige con 46 milioni di euro in più (+3,4%), del Piemonte con 218 milioni di euro (2,0%) e del Veneto con 171 milioni di euro (+1,7%). In sole tre realtà regionali, al contrario, il credito al consumo ha subìto una flessione: Basilicata con una contrazione di 13,2 milioni di euro (-</w:t>
      </w:r>
      <w:r w:rsidRPr="00487BD5">
        <w:rPr>
          <w:rFonts w:cs="Tahoma"/>
          <w:sz w:val="22"/>
          <w:szCs w:val="22"/>
        </w:rPr>
        <w:t>1,2</w:t>
      </w:r>
      <w:r w:rsidRPr="00A17B34">
        <w:rPr>
          <w:rFonts w:cs="Tahoma"/>
          <w:sz w:val="22"/>
          <w:szCs w:val="22"/>
        </w:rPr>
        <w:t>%), Molise con 7,2 milioni di euro (-</w:t>
      </w:r>
      <w:r w:rsidRPr="00487BD5">
        <w:rPr>
          <w:rFonts w:cs="Tahoma"/>
          <w:sz w:val="22"/>
          <w:szCs w:val="22"/>
        </w:rPr>
        <w:t>1,1</w:t>
      </w:r>
      <w:r w:rsidRPr="00A17B34">
        <w:rPr>
          <w:rFonts w:cs="Tahoma"/>
          <w:sz w:val="22"/>
          <w:szCs w:val="22"/>
        </w:rPr>
        <w:t>%) e Sardegna con 24 milioni di euro (-</w:t>
      </w:r>
      <w:r w:rsidRPr="00487BD5">
        <w:rPr>
          <w:rFonts w:cs="Tahoma"/>
          <w:sz w:val="22"/>
          <w:szCs w:val="22"/>
        </w:rPr>
        <w:t>0,5</w:t>
      </w:r>
      <w:r w:rsidRPr="00A17B34">
        <w:rPr>
          <w:rFonts w:cs="Tahoma"/>
          <w:sz w:val="22"/>
          <w:szCs w:val="22"/>
        </w:rPr>
        <w:t>%).</w:t>
      </w:r>
    </w:p>
    <w:p w14:paraId="1755AE34" w14:textId="77777777" w:rsidR="001D6BA9" w:rsidRPr="00A17B34" w:rsidRDefault="001D6BA9" w:rsidP="001D6BA9">
      <w:pPr>
        <w:jc w:val="both"/>
        <w:rPr>
          <w:rFonts w:asciiTheme="minorHAnsi" w:hAnsiTheme="minorHAnsi" w:cs="Tahoma"/>
          <w:sz w:val="22"/>
          <w:szCs w:val="22"/>
        </w:rPr>
      </w:pPr>
    </w:p>
    <w:p w14:paraId="4D08B02B" w14:textId="4AFF6593" w:rsidR="001D6BA9" w:rsidRPr="00A17B34" w:rsidRDefault="001D6BA9" w:rsidP="001D6BA9">
      <w:pPr>
        <w:jc w:val="both"/>
        <w:rPr>
          <w:rFonts w:asciiTheme="minorHAnsi" w:hAnsiTheme="minorHAnsi" w:cs="Tahoma"/>
          <w:sz w:val="22"/>
          <w:szCs w:val="22"/>
        </w:rPr>
      </w:pPr>
      <w:r w:rsidRPr="00A17B34">
        <w:rPr>
          <w:rFonts w:asciiTheme="minorHAnsi" w:hAnsiTheme="minorHAnsi" w:cs="Tahoma"/>
          <w:b/>
          <w:bCs/>
          <w:kern w:val="36"/>
          <w:sz w:val="22"/>
          <w:szCs w:val="22"/>
        </w:rPr>
        <w:t xml:space="preserve">Entrate tributarie: oltre 5 miliardi di mancati incassi per gli enti locali. </w:t>
      </w:r>
      <w:r w:rsidRPr="00A17B34">
        <w:rPr>
          <w:rFonts w:asciiTheme="minorHAnsi" w:hAnsiTheme="minorHAnsi" w:cs="Tahoma"/>
          <w:sz w:val="22"/>
          <w:szCs w:val="22"/>
        </w:rPr>
        <w:t xml:space="preserve">Anche gli enti locali italiani entrano in crisi di liquidità.  Nel 2020, il Covid-19 ha travolto anche le casse comunali e provinciali con una sforbiciata di ben 5.217 milioni di euro di mancati incassi, pari al </w:t>
      </w:r>
      <w:r w:rsidRPr="00487BD5">
        <w:rPr>
          <w:rFonts w:asciiTheme="minorHAnsi" w:hAnsiTheme="minorHAnsi" w:cs="Tahoma"/>
          <w:sz w:val="22"/>
          <w:szCs w:val="22"/>
        </w:rPr>
        <w:t>1</w:t>
      </w:r>
      <w:r w:rsidR="00487BD5" w:rsidRPr="00487BD5">
        <w:rPr>
          <w:rFonts w:asciiTheme="minorHAnsi" w:hAnsiTheme="minorHAnsi" w:cs="Tahoma"/>
          <w:sz w:val="22"/>
          <w:szCs w:val="22"/>
        </w:rPr>
        <w:t>0</w:t>
      </w:r>
      <w:r w:rsidRPr="00487BD5">
        <w:rPr>
          <w:rFonts w:asciiTheme="minorHAnsi" w:hAnsiTheme="minorHAnsi" w:cs="Tahoma"/>
          <w:sz w:val="22"/>
          <w:szCs w:val="22"/>
        </w:rPr>
        <w:t>,9</w:t>
      </w:r>
      <w:r w:rsidRPr="00A17B34">
        <w:rPr>
          <w:rFonts w:asciiTheme="minorHAnsi" w:hAnsiTheme="minorHAnsi" w:cs="Tahoma"/>
          <w:sz w:val="22"/>
          <w:szCs w:val="22"/>
        </w:rPr>
        <w:t xml:space="preserve"> per cento, derivanti dai principali tributi locali rispetto allo stesso periodo del 2019: dai 47.791 milioni di euro del 2019 ai 42.574 milioni di euro del 2020.</w:t>
      </w:r>
    </w:p>
    <w:p w14:paraId="615B5310" w14:textId="77777777" w:rsidR="001D6BA9" w:rsidRPr="00A17B34" w:rsidRDefault="001D6BA9" w:rsidP="001D6BA9">
      <w:pPr>
        <w:jc w:val="both"/>
        <w:rPr>
          <w:rFonts w:asciiTheme="minorHAnsi" w:hAnsiTheme="minorHAnsi" w:cs="Tahoma"/>
          <w:sz w:val="22"/>
          <w:szCs w:val="22"/>
        </w:rPr>
      </w:pPr>
      <w:r w:rsidRPr="00A17B34">
        <w:rPr>
          <w:rFonts w:asciiTheme="minorHAnsi" w:hAnsiTheme="minorHAnsi" w:cs="Tahoma"/>
          <w:sz w:val="22"/>
          <w:szCs w:val="22"/>
        </w:rPr>
        <w:t xml:space="preserve">Spostando l’osservazione sul livello regionale emerge un quadro abbastanza differenziato. In particolare, sul podio delle casse più “prosciugate” si posizionano gli enti locali di quattro realtà regionali: Campania, Trentino-Alto Adige, Calabria e Lombardia. In particolare, in Campania, comuni, città metropolitane e province registrano una flessione degli incassi pari al 15,9 per cento, quantificabile </w:t>
      </w:r>
      <w:r w:rsidRPr="00A17B34">
        <w:rPr>
          <w:rFonts w:asciiTheme="minorHAnsi" w:hAnsiTheme="minorHAnsi" w:cs="Tahoma"/>
          <w:sz w:val="22"/>
          <w:szCs w:val="22"/>
        </w:rPr>
        <w:lastRenderedPageBreak/>
        <w:t xml:space="preserve">in ben 535,6 milioni di euro immediatamente seguita dal Trentino-Alto Adige i cui enti di rappresentanza territoriale hanno registrato mancati incassi per 174,5 milioni di euro, pari al </w:t>
      </w:r>
      <w:r w:rsidRPr="00487BD5">
        <w:rPr>
          <w:rFonts w:asciiTheme="minorHAnsi" w:hAnsiTheme="minorHAnsi" w:cs="Tahoma"/>
          <w:sz w:val="22"/>
          <w:szCs w:val="22"/>
        </w:rPr>
        <w:t>15,6</w:t>
      </w:r>
      <w:r w:rsidRPr="00A17B34">
        <w:rPr>
          <w:rFonts w:asciiTheme="minorHAnsi" w:hAnsiTheme="minorHAnsi" w:cs="Tahoma"/>
          <w:sz w:val="22"/>
          <w:szCs w:val="22"/>
        </w:rPr>
        <w:t xml:space="preserve"> per cento. A chiudere questo primo raggruppamento dei “più sofferenti”, gli enti locali della Calabria e della Lombardia, le cui mancate risorse finanziarie ammontano rispettivamente a 169,4 milioni di euro (-</w:t>
      </w:r>
      <w:r w:rsidRPr="00487BD5">
        <w:rPr>
          <w:rFonts w:asciiTheme="minorHAnsi" w:hAnsiTheme="minorHAnsi" w:cs="Tahoma"/>
          <w:sz w:val="22"/>
          <w:szCs w:val="22"/>
        </w:rPr>
        <w:t>15,5</w:t>
      </w:r>
      <w:r w:rsidRPr="00A17B34">
        <w:rPr>
          <w:rFonts w:asciiTheme="minorHAnsi" w:hAnsiTheme="minorHAnsi" w:cs="Tahoma"/>
          <w:sz w:val="22"/>
          <w:szCs w:val="22"/>
        </w:rPr>
        <w:t>%) e a 1.306 milioni di euro (-14,1%).</w:t>
      </w:r>
    </w:p>
    <w:p w14:paraId="078E66CE" w14:textId="77777777" w:rsidR="001D6BA9" w:rsidRPr="00A17B34" w:rsidRDefault="001D6BA9" w:rsidP="001D6BA9">
      <w:pPr>
        <w:jc w:val="both"/>
        <w:rPr>
          <w:rFonts w:asciiTheme="minorHAnsi" w:hAnsiTheme="minorHAnsi" w:cs="Tahoma"/>
          <w:sz w:val="22"/>
          <w:szCs w:val="22"/>
        </w:rPr>
      </w:pPr>
      <w:r w:rsidRPr="00A17B34">
        <w:rPr>
          <w:rFonts w:asciiTheme="minorHAnsi" w:hAnsiTheme="minorHAnsi" w:cs="Tahoma"/>
          <w:sz w:val="22"/>
          <w:szCs w:val="22"/>
        </w:rPr>
        <w:t>Sul versante opposto, ad aver subìto minori contraccolpi nei 12 mesi del 2020 rispetto all’anno precedente, risultano gli enti locali delle Marche con una flessione degli incassi tributari ed extra-tributari, in valore assoluto, di 84,1 milioni di euro (-6,9%). A seguire comuni, città metropolitane e province del Molise con una riduzione di 12,9 milioni di euro (-6,4%) e del Lazio le cui mancate risorse finanziarie ammontano a 165,6 milioni di euro (-3,1%).</w:t>
      </w:r>
    </w:p>
    <w:p w14:paraId="7D0AA614" w14:textId="77777777" w:rsidR="001D6BA9" w:rsidRPr="00A17B34" w:rsidRDefault="001D6BA9" w:rsidP="001D6BA9">
      <w:pPr>
        <w:pStyle w:val="Titolo1"/>
        <w:shd w:val="clear" w:color="auto" w:fill="FFFFFF"/>
        <w:spacing w:before="0" w:beforeAutospacing="0" w:after="0" w:afterAutospacing="0"/>
        <w:jc w:val="both"/>
        <w:rPr>
          <w:rFonts w:asciiTheme="minorHAnsi" w:hAnsiTheme="minorHAnsi" w:cs="Tahoma"/>
          <w:b w:val="0"/>
          <w:sz w:val="22"/>
          <w:szCs w:val="22"/>
        </w:rPr>
      </w:pPr>
    </w:p>
    <w:p w14:paraId="1C9244C7" w14:textId="77777777" w:rsidR="001D6BA9" w:rsidRPr="00A17B34" w:rsidRDefault="001D6BA9" w:rsidP="001D6BA9">
      <w:pPr>
        <w:pStyle w:val="Titolo1"/>
        <w:shd w:val="clear" w:color="auto" w:fill="FFFFFF"/>
        <w:spacing w:before="0" w:beforeAutospacing="0" w:after="0" w:afterAutospacing="0"/>
        <w:jc w:val="both"/>
        <w:rPr>
          <w:rFonts w:asciiTheme="minorHAnsi" w:hAnsiTheme="minorHAnsi" w:cs="Tahoma"/>
          <w:b w:val="0"/>
          <w:sz w:val="22"/>
          <w:szCs w:val="22"/>
        </w:rPr>
      </w:pPr>
      <w:r w:rsidRPr="00A17B34">
        <w:rPr>
          <w:rFonts w:asciiTheme="minorHAnsi" w:hAnsiTheme="minorHAnsi" w:cs="Tahoma"/>
          <w:sz w:val="22"/>
          <w:szCs w:val="22"/>
        </w:rPr>
        <w:t>Aspetti metodologici</w:t>
      </w:r>
    </w:p>
    <w:p w14:paraId="32655558" w14:textId="77777777" w:rsidR="001D6BA9" w:rsidRPr="00A17B34" w:rsidRDefault="001D6BA9" w:rsidP="001D6BA9">
      <w:pPr>
        <w:pStyle w:val="Titolo1"/>
        <w:shd w:val="clear" w:color="auto" w:fill="FFFFFF"/>
        <w:spacing w:before="0" w:beforeAutospacing="0" w:after="0" w:afterAutospacing="0"/>
        <w:jc w:val="both"/>
        <w:rPr>
          <w:rFonts w:asciiTheme="minorHAnsi" w:hAnsiTheme="minorHAnsi" w:cs="Tahoma"/>
          <w:sz w:val="22"/>
          <w:szCs w:val="22"/>
        </w:rPr>
      </w:pPr>
      <w:r w:rsidRPr="00A17B34">
        <w:rPr>
          <w:rFonts w:asciiTheme="minorHAnsi" w:hAnsiTheme="minorHAnsi" w:cs="Tahoma"/>
          <w:b w:val="0"/>
          <w:sz w:val="22"/>
          <w:szCs w:val="22"/>
        </w:rPr>
        <w:t>Sono sei gli indicatori individuati con le rispettive fonti: </w:t>
      </w:r>
      <w:r w:rsidRPr="00A17B34">
        <w:rPr>
          <w:rFonts w:asciiTheme="minorHAnsi" w:hAnsiTheme="minorHAnsi" w:cs="Tahoma"/>
          <w:sz w:val="22"/>
          <w:szCs w:val="22"/>
        </w:rPr>
        <w:t>entrate tributarie ed extra-tributarie</w:t>
      </w:r>
      <w:r w:rsidRPr="00A17B34">
        <w:rPr>
          <w:rFonts w:asciiTheme="minorHAnsi" w:hAnsiTheme="minorHAnsi" w:cs="Tahoma"/>
          <w:b w:val="0"/>
          <w:sz w:val="22"/>
          <w:szCs w:val="22"/>
        </w:rPr>
        <w:t xml:space="preserve"> (</w:t>
      </w:r>
      <w:proofErr w:type="spellStart"/>
      <w:r w:rsidRPr="00A17B34">
        <w:rPr>
          <w:rFonts w:asciiTheme="minorHAnsi" w:hAnsiTheme="minorHAnsi" w:cs="Tahoma"/>
          <w:b w:val="0"/>
          <w:sz w:val="22"/>
          <w:szCs w:val="22"/>
        </w:rPr>
        <w:t>Siope</w:t>
      </w:r>
      <w:proofErr w:type="spellEnd"/>
      <w:r w:rsidRPr="00A17B34">
        <w:rPr>
          <w:rFonts w:asciiTheme="minorHAnsi" w:hAnsiTheme="minorHAnsi" w:cs="Tahoma"/>
          <w:b w:val="0"/>
          <w:sz w:val="22"/>
          <w:szCs w:val="22"/>
        </w:rPr>
        <w:t xml:space="preserve">, anni 2019-2020, categoria: Province, Comuni, Città metropolitane e Unioni di Comuni); </w:t>
      </w:r>
      <w:r w:rsidRPr="00A17B34">
        <w:rPr>
          <w:rFonts w:asciiTheme="minorHAnsi" w:hAnsiTheme="minorHAnsi" w:cs="Tahoma"/>
          <w:sz w:val="22"/>
          <w:szCs w:val="22"/>
        </w:rPr>
        <w:t>prestiti alle imprese</w:t>
      </w:r>
      <w:r w:rsidRPr="00A17B34">
        <w:rPr>
          <w:rFonts w:asciiTheme="minorHAnsi" w:hAnsiTheme="minorHAnsi" w:cs="Tahoma"/>
          <w:b w:val="0"/>
          <w:sz w:val="22"/>
          <w:szCs w:val="22"/>
        </w:rPr>
        <w:t xml:space="preserve"> (Banca d’Italia, confronto dati aggiornati al periodo 31-12-2019 e 31-12-2020);</w:t>
      </w:r>
      <w:r w:rsidRPr="00A17B34">
        <w:rPr>
          <w:rFonts w:asciiTheme="minorHAnsi" w:hAnsiTheme="minorHAnsi" w:cs="Tahoma"/>
          <w:sz w:val="22"/>
          <w:szCs w:val="22"/>
        </w:rPr>
        <w:t xml:space="preserve"> credito al consumo alle famiglie consumatrici </w:t>
      </w:r>
      <w:r w:rsidRPr="00A17B34">
        <w:rPr>
          <w:rFonts w:asciiTheme="minorHAnsi" w:hAnsiTheme="minorHAnsi" w:cs="Tahoma"/>
          <w:b w:val="0"/>
          <w:sz w:val="22"/>
          <w:szCs w:val="22"/>
        </w:rPr>
        <w:t xml:space="preserve">(Banca d’Italia, confronto dati aggiornati al periodo 30-09-2019 e 30-09-2020); </w:t>
      </w:r>
      <w:r w:rsidRPr="00A17B34">
        <w:rPr>
          <w:rFonts w:asciiTheme="minorHAnsi" w:hAnsiTheme="minorHAnsi" w:cs="Tahoma"/>
          <w:sz w:val="22"/>
          <w:szCs w:val="22"/>
        </w:rPr>
        <w:t>natalità delle imprese</w:t>
      </w:r>
      <w:r w:rsidRPr="00A17B34">
        <w:rPr>
          <w:rFonts w:asciiTheme="minorHAnsi" w:hAnsiTheme="minorHAnsi" w:cs="Tahoma"/>
          <w:b w:val="0"/>
          <w:sz w:val="22"/>
          <w:szCs w:val="22"/>
        </w:rPr>
        <w:t xml:space="preserve"> (</w:t>
      </w:r>
      <w:proofErr w:type="spellStart"/>
      <w:r w:rsidRPr="00A17B34">
        <w:rPr>
          <w:rFonts w:asciiTheme="minorHAnsi" w:hAnsiTheme="minorHAnsi" w:cs="Tahoma"/>
          <w:b w:val="0"/>
          <w:sz w:val="22"/>
          <w:szCs w:val="22"/>
        </w:rPr>
        <w:t>Infoimprese-UnionCamere</w:t>
      </w:r>
      <w:proofErr w:type="spellEnd"/>
      <w:r w:rsidRPr="00A17B34">
        <w:rPr>
          <w:rFonts w:asciiTheme="minorHAnsi" w:hAnsiTheme="minorHAnsi" w:cs="Tahoma"/>
          <w:b w:val="0"/>
          <w:sz w:val="22"/>
          <w:szCs w:val="22"/>
        </w:rPr>
        <w:t xml:space="preserve">, anni 2019-2020); </w:t>
      </w:r>
      <w:r w:rsidR="005A268A" w:rsidRPr="00A17B34">
        <w:rPr>
          <w:rFonts w:asciiTheme="minorHAnsi" w:hAnsiTheme="minorHAnsi" w:cs="Tahoma"/>
          <w:sz w:val="22"/>
          <w:szCs w:val="22"/>
        </w:rPr>
        <w:t>occupati a tempo pieno e a tempo parziale</w:t>
      </w:r>
      <w:r w:rsidR="005A268A" w:rsidRPr="00A17B34">
        <w:rPr>
          <w:rFonts w:asciiTheme="minorHAnsi" w:hAnsiTheme="minorHAnsi" w:cs="Tahoma"/>
          <w:b w:val="0"/>
          <w:sz w:val="22"/>
          <w:szCs w:val="22"/>
        </w:rPr>
        <w:t xml:space="preserve"> (Istat</w:t>
      </w:r>
      <w:r w:rsidRPr="00A17B34">
        <w:rPr>
          <w:rFonts w:asciiTheme="minorHAnsi" w:hAnsiTheme="minorHAnsi" w:cs="Tahoma"/>
          <w:b w:val="0"/>
          <w:sz w:val="22"/>
          <w:szCs w:val="22"/>
        </w:rPr>
        <w:t xml:space="preserve">, </w:t>
      </w:r>
      <w:r w:rsidR="005A268A" w:rsidRPr="00A17B34">
        <w:rPr>
          <w:rFonts w:asciiTheme="minorHAnsi" w:hAnsiTheme="minorHAnsi" w:cs="Tahoma"/>
          <w:b w:val="0"/>
          <w:bCs w:val="0"/>
          <w:sz w:val="22"/>
          <w:szCs w:val="22"/>
        </w:rPr>
        <w:t>Rilevazione sulle forze di lavoro, anni 2019-2020</w:t>
      </w:r>
      <w:r w:rsidRPr="00A17B34">
        <w:rPr>
          <w:rFonts w:asciiTheme="minorHAnsi" w:hAnsiTheme="minorHAnsi" w:cs="Tahoma"/>
          <w:b w:val="0"/>
          <w:sz w:val="22"/>
          <w:szCs w:val="22"/>
        </w:rPr>
        <w:t>). Per l’indicatore dell’</w:t>
      </w:r>
      <w:r w:rsidRPr="00A17B34">
        <w:rPr>
          <w:rFonts w:asciiTheme="minorHAnsi" w:hAnsiTheme="minorHAnsi" w:cs="Tahoma"/>
          <w:sz w:val="22"/>
          <w:szCs w:val="22"/>
        </w:rPr>
        <w:t xml:space="preserve">incidenza della povertà </w:t>
      </w:r>
      <w:r w:rsidRPr="00A17B34">
        <w:rPr>
          <w:rFonts w:asciiTheme="minorHAnsi" w:hAnsiTheme="minorHAnsi" w:cs="Tahoma"/>
          <w:b w:val="0"/>
          <w:sz w:val="22"/>
          <w:szCs w:val="22"/>
        </w:rPr>
        <w:t xml:space="preserve">relativa il dato per regione, relativo al 2020, è stato stimato da </w:t>
      </w:r>
      <w:proofErr w:type="spellStart"/>
      <w:r w:rsidRPr="00A17B34">
        <w:rPr>
          <w:rFonts w:asciiTheme="minorHAnsi" w:hAnsiTheme="minorHAnsi" w:cs="Tahoma"/>
          <w:b w:val="0"/>
          <w:sz w:val="22"/>
          <w:szCs w:val="22"/>
        </w:rPr>
        <w:t>Demoskopika</w:t>
      </w:r>
      <w:proofErr w:type="spellEnd"/>
      <w:r w:rsidRPr="00A17B34">
        <w:rPr>
          <w:rFonts w:asciiTheme="minorHAnsi" w:hAnsiTheme="minorHAnsi" w:cs="Tahoma"/>
          <w:b w:val="0"/>
          <w:sz w:val="22"/>
          <w:szCs w:val="22"/>
        </w:rPr>
        <w:t xml:space="preserve"> sulla base dei dati ufficiali per regione relativi al 2019 dell’Istat e sulle statistiche preliminari sulla povertà diffuse dall’Istat lo scorso 4 marzo 2021. Successivamente è stato confrontato il dato ottenuto con il 2019 per ciascuna regione. </w:t>
      </w:r>
    </w:p>
    <w:p w14:paraId="7487DCA5" w14:textId="77777777" w:rsidR="001D6BA9" w:rsidRPr="00A17B34" w:rsidRDefault="001D6BA9" w:rsidP="00A17B34">
      <w:pPr>
        <w:pStyle w:val="Intestazione"/>
        <w:tabs>
          <w:tab w:val="left" w:pos="709"/>
          <w:tab w:val="left" w:pos="1418"/>
          <w:tab w:val="left" w:pos="2890"/>
        </w:tabs>
        <w:ind w:right="-82"/>
        <w:jc w:val="both"/>
        <w:rPr>
          <w:rFonts w:cs="Tahoma"/>
          <w:b/>
          <w:sz w:val="22"/>
          <w:szCs w:val="22"/>
        </w:rPr>
      </w:pPr>
      <w:r w:rsidRPr="00A17B34">
        <w:rPr>
          <w:rFonts w:cs="Tahoma"/>
          <w:bCs/>
          <w:kern w:val="36"/>
          <w:sz w:val="22"/>
          <w:szCs w:val="22"/>
        </w:rPr>
        <w:t>La scelta del set di indicatori utilizzati non ha alcuna pretesa di essere esaustiva considerata la complessità dell’argomento trattato. Per giungere alla determinazione della classifica dell’ISER (</w:t>
      </w:r>
      <w:r w:rsidRPr="00461C73">
        <w:rPr>
          <w:rFonts w:cs="Tahoma"/>
          <w:bCs/>
          <w:i/>
          <w:kern w:val="36"/>
          <w:sz w:val="22"/>
          <w:szCs w:val="22"/>
        </w:rPr>
        <w:t>Indice di Sofferenza Economica Regionale</w:t>
      </w:r>
      <w:r w:rsidRPr="00A17B34">
        <w:rPr>
          <w:rFonts w:cs="Tahoma"/>
          <w:bCs/>
          <w:kern w:val="36"/>
          <w:sz w:val="22"/>
          <w:szCs w:val="22"/>
        </w:rPr>
        <w:t>), si è proceduto alla costruzione di una graduatoria per ognuno degli indicatori considerati. Non tutti gli indicatori elementari presentano la stessa polarità rispetto all’indicatore sintetico, in quanto il segno della relazione tra l’indicatore e il fenomeno è per alcuni positivo e per altri negativo. Per ovviare a questa circostanza è stato necessario trasformare gli indicatori con polarità negativa invertendo la polarità attraverso un processo di standardizzazione dei dati. Per la normalizzazione dei dati e per il calcolo dell’indice generale ISER e dei singoli indici sintetici di area è stata impiegata la metodologia di aggregazione dell’indice MPI (</w:t>
      </w:r>
      <w:proofErr w:type="spellStart"/>
      <w:r w:rsidRPr="00A17B34">
        <w:rPr>
          <w:rFonts w:cs="Tahoma"/>
          <w:bCs/>
          <w:kern w:val="36"/>
          <w:sz w:val="22"/>
          <w:szCs w:val="22"/>
        </w:rPr>
        <w:t>Mazziotta</w:t>
      </w:r>
      <w:proofErr w:type="spellEnd"/>
      <w:r w:rsidRPr="00A17B34">
        <w:rPr>
          <w:rFonts w:cs="Tahoma"/>
          <w:bCs/>
          <w:kern w:val="36"/>
          <w:sz w:val="22"/>
          <w:szCs w:val="22"/>
        </w:rPr>
        <w:t xml:space="preserve"> – Pareto Index) attraverso la quale si propone di fornire una misura sintetica nell’ipotesi che ciascuna componente elementare non sia sostituibile con le altre e che tutte abbiano la stessa importanza. Si trasforma ciascun indicatore elementare in una variabile standardizzata con media=100 e </w:t>
      </w:r>
      <w:proofErr w:type="spellStart"/>
      <w:r w:rsidRPr="00A17B34">
        <w:rPr>
          <w:rFonts w:cs="Tahoma"/>
          <w:bCs/>
          <w:kern w:val="36"/>
          <w:sz w:val="22"/>
          <w:szCs w:val="22"/>
        </w:rPr>
        <w:t>s.q.m</w:t>
      </w:r>
      <w:proofErr w:type="spellEnd"/>
      <w:r w:rsidRPr="00A17B34">
        <w:rPr>
          <w:rFonts w:cs="Tahoma"/>
          <w:bCs/>
          <w:kern w:val="36"/>
          <w:sz w:val="22"/>
          <w:szCs w:val="22"/>
        </w:rPr>
        <w:t>.=10. In questo modo gli indicatori sono indipendenti dall’unità di misura e dalla loro variabilità ed è possibile identificare le unità al di sopra della media (valori superiori a 100) e al di sotto della media (valori inferiori a 100).</w:t>
      </w:r>
      <w:r w:rsidRPr="00A17B34">
        <w:rPr>
          <w:color w:val="000000"/>
          <w:spacing w:val="31"/>
          <w:sz w:val="22"/>
          <w:szCs w:val="22"/>
        </w:rPr>
        <w:t xml:space="preserve"> </w:t>
      </w:r>
      <w:r w:rsidR="00A17B34" w:rsidRPr="00A17B34">
        <w:rPr>
          <w:rFonts w:cs="Tahoma"/>
          <w:bCs/>
          <w:kern w:val="36"/>
          <w:sz w:val="22"/>
          <w:szCs w:val="22"/>
        </w:rPr>
        <w:t>Infine, per</w:t>
      </w:r>
      <w:r w:rsidR="00A17B34" w:rsidRPr="00A17B34">
        <w:rPr>
          <w:rStyle w:val="jsgrdq"/>
          <w:color w:val="000000"/>
          <w:sz w:val="22"/>
          <w:szCs w:val="22"/>
        </w:rPr>
        <w:t xml:space="preserve"> consentire una lettura più agevole, le regioni sono state classificate in tre cluster principali, in relazione al livello di sofferenza economica: molto elevato (</w:t>
      </w:r>
      <w:r w:rsidR="00A17B34" w:rsidRPr="00A17B34">
        <w:rPr>
          <w:rStyle w:val="jsgrdq"/>
          <w:i/>
          <w:color w:val="000000"/>
          <w:sz w:val="22"/>
          <w:szCs w:val="22"/>
        </w:rPr>
        <w:t>zona rossa</w:t>
      </w:r>
      <w:r w:rsidR="00A17B34" w:rsidRPr="00A17B34">
        <w:rPr>
          <w:rStyle w:val="jsgrdq"/>
          <w:color w:val="000000"/>
          <w:sz w:val="22"/>
          <w:szCs w:val="22"/>
        </w:rPr>
        <w:t>) elevato (zona arancione) e moderatamente elevato (</w:t>
      </w:r>
      <w:r w:rsidR="00A17B34" w:rsidRPr="00A17B34">
        <w:rPr>
          <w:rStyle w:val="jsgrdq"/>
          <w:i/>
          <w:color w:val="000000"/>
          <w:sz w:val="22"/>
          <w:szCs w:val="22"/>
        </w:rPr>
        <w:t>zona gialla</w:t>
      </w:r>
      <w:r w:rsidR="00A17B34" w:rsidRPr="00A17B34">
        <w:rPr>
          <w:rStyle w:val="jsgrdq"/>
          <w:color w:val="000000"/>
          <w:sz w:val="22"/>
          <w:szCs w:val="22"/>
        </w:rPr>
        <w:t>)</w:t>
      </w:r>
      <w:r w:rsidR="00A17B34" w:rsidRPr="00A17B34">
        <w:rPr>
          <w:rStyle w:val="jsgrdq"/>
          <w:i/>
          <w:iCs/>
          <w:color w:val="000000"/>
          <w:sz w:val="22"/>
          <w:szCs w:val="22"/>
        </w:rPr>
        <w:t xml:space="preserve">. </w:t>
      </w:r>
      <w:r w:rsidR="00A17B34" w:rsidRPr="00A17B34">
        <w:rPr>
          <w:rFonts w:cs="Tahoma"/>
          <w:bCs/>
          <w:kern w:val="36"/>
          <w:sz w:val="22"/>
          <w:szCs w:val="22"/>
        </w:rPr>
        <w:t>Cinque realtà regionali con un livello sofferenza “molto elevato”, dieci con un livello “elevato” e le rimanenti cinque con un grado “moderatamente elevato”.</w:t>
      </w:r>
    </w:p>
    <w:p w14:paraId="1B289151" w14:textId="77777777" w:rsidR="001D6BA9" w:rsidRPr="00A17B34" w:rsidRDefault="001D6BA9" w:rsidP="001D6BA9">
      <w:pPr>
        <w:pStyle w:val="Titolo1"/>
        <w:shd w:val="clear" w:color="auto" w:fill="FFFFFF"/>
        <w:spacing w:before="0" w:beforeAutospacing="0" w:after="0" w:afterAutospacing="0"/>
        <w:jc w:val="both"/>
        <w:rPr>
          <w:rFonts w:asciiTheme="minorHAnsi" w:hAnsiTheme="minorHAnsi" w:cs="Tahoma"/>
          <w:b w:val="0"/>
          <w:sz w:val="22"/>
          <w:szCs w:val="22"/>
        </w:rPr>
      </w:pPr>
    </w:p>
    <w:p w14:paraId="7E5B8F23" w14:textId="77777777" w:rsidR="001D6BA9" w:rsidRPr="00A17B34" w:rsidRDefault="001D6BA9" w:rsidP="001D6BA9">
      <w:pPr>
        <w:pStyle w:val="Titolo1"/>
        <w:shd w:val="clear" w:color="auto" w:fill="FFFFFF"/>
        <w:spacing w:before="0" w:beforeAutospacing="0" w:after="0" w:afterAutospacing="0"/>
        <w:jc w:val="both"/>
        <w:rPr>
          <w:rFonts w:asciiTheme="minorHAnsi" w:hAnsiTheme="minorHAnsi" w:cs="Tahoma"/>
          <w:b w:val="0"/>
          <w:sz w:val="22"/>
          <w:szCs w:val="22"/>
        </w:rPr>
      </w:pPr>
    </w:p>
    <w:p w14:paraId="198F3332"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25ABB3D9"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471F4587"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15BB20A4"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46DFE9D3"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171A30FA"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62D59AD2"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37A14660"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4115B3C8" w14:textId="77777777" w:rsidR="004712D6" w:rsidRDefault="004712D6" w:rsidP="001D6BA9">
      <w:pPr>
        <w:pStyle w:val="Intestazione"/>
        <w:tabs>
          <w:tab w:val="left" w:pos="709"/>
          <w:tab w:val="left" w:pos="1418"/>
          <w:tab w:val="left" w:pos="2890"/>
        </w:tabs>
        <w:jc w:val="center"/>
        <w:rPr>
          <w:rFonts w:asciiTheme="majorHAnsi" w:hAnsiTheme="majorHAnsi" w:cs="Tahoma"/>
          <w:b/>
          <w:bCs/>
          <w:sz w:val="36"/>
          <w:szCs w:val="36"/>
        </w:rPr>
      </w:pPr>
    </w:p>
    <w:p w14:paraId="789ED080" w14:textId="77777777" w:rsidR="001D6BA9" w:rsidRPr="00D92990" w:rsidRDefault="001D6BA9" w:rsidP="001D6BA9">
      <w:pPr>
        <w:pStyle w:val="Intestazione"/>
        <w:tabs>
          <w:tab w:val="left" w:pos="709"/>
          <w:tab w:val="left" w:pos="1418"/>
          <w:tab w:val="left" w:pos="2890"/>
        </w:tabs>
        <w:jc w:val="center"/>
        <w:rPr>
          <w:rFonts w:asciiTheme="majorHAnsi" w:hAnsiTheme="majorHAnsi" w:cs="Tahoma"/>
          <w:b/>
          <w:bCs/>
          <w:sz w:val="36"/>
          <w:szCs w:val="36"/>
        </w:rPr>
      </w:pPr>
      <w:r w:rsidRPr="00D92990">
        <w:rPr>
          <w:rFonts w:asciiTheme="majorHAnsi" w:hAnsiTheme="majorHAnsi" w:cs="Tahoma"/>
          <w:b/>
          <w:bCs/>
          <w:sz w:val="36"/>
          <w:szCs w:val="36"/>
        </w:rPr>
        <w:t>ALLEGATO STATISTICO</w:t>
      </w:r>
    </w:p>
    <w:p w14:paraId="7FB1BE53" w14:textId="77777777" w:rsidR="001D6BA9" w:rsidRPr="00CC4C88" w:rsidRDefault="001D6BA9" w:rsidP="001D6BA9">
      <w:pPr>
        <w:pStyle w:val="Intestazione"/>
        <w:tabs>
          <w:tab w:val="left" w:pos="709"/>
          <w:tab w:val="left" w:pos="1418"/>
          <w:tab w:val="left" w:pos="2890"/>
        </w:tabs>
        <w:jc w:val="center"/>
        <w:rPr>
          <w:rFonts w:asciiTheme="majorHAnsi" w:hAnsiTheme="majorHAnsi" w:cs="Tahoma"/>
          <w:b/>
          <w:bCs/>
          <w:sz w:val="29"/>
          <w:szCs w:val="29"/>
        </w:rPr>
      </w:pPr>
    </w:p>
    <w:p w14:paraId="60DF71DB" w14:textId="77777777" w:rsidR="00395C59" w:rsidRPr="00FF7807" w:rsidRDefault="00395C59" w:rsidP="00395C5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Classifica generale dell’indice di sofferenza economica regionale (ISER)</w:t>
      </w:r>
    </w:p>
    <w:p w14:paraId="771FDA90" w14:textId="77777777" w:rsidR="00395C59" w:rsidRDefault="00395C59" w:rsidP="00395C5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sz w:val="22"/>
        </w:rPr>
        <w:t>Anno 2021</w:t>
      </w:r>
    </w:p>
    <w:p w14:paraId="1C10B7C2"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48664140"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r w:rsidRPr="00395C59">
        <w:rPr>
          <w:noProof/>
        </w:rPr>
        <w:drawing>
          <wp:anchor distT="0" distB="0" distL="114300" distR="114300" simplePos="0" relativeHeight="251659776" behindDoc="1" locked="0" layoutInCell="1" allowOverlap="1" wp14:anchorId="002AC3AD" wp14:editId="03A17EE5">
            <wp:simplePos x="0" y="0"/>
            <wp:positionH relativeFrom="column">
              <wp:posOffset>4023360</wp:posOffset>
            </wp:positionH>
            <wp:positionV relativeFrom="paragraph">
              <wp:posOffset>5080</wp:posOffset>
            </wp:positionV>
            <wp:extent cx="1912620" cy="3844290"/>
            <wp:effectExtent l="0" t="0" r="0"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2620" cy="3844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8"/>
          <w:szCs w:val="28"/>
        </w:rPr>
        <w:drawing>
          <wp:anchor distT="0" distB="0" distL="114300" distR="114300" simplePos="0" relativeHeight="251657728" behindDoc="1" locked="0" layoutInCell="1" allowOverlap="1" wp14:anchorId="658DCFC3" wp14:editId="0C685960">
            <wp:simplePos x="0" y="0"/>
            <wp:positionH relativeFrom="column">
              <wp:posOffset>49530</wp:posOffset>
            </wp:positionH>
            <wp:positionV relativeFrom="paragraph">
              <wp:posOffset>5080</wp:posOffset>
            </wp:positionV>
            <wp:extent cx="3470478" cy="41529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ina ISER 2021 defintiva.png"/>
                    <pic:cNvPicPr/>
                  </pic:nvPicPr>
                  <pic:blipFill>
                    <a:blip r:embed="rId10">
                      <a:extLst>
                        <a:ext uri="{28A0092B-C50C-407E-A947-70E740481C1C}">
                          <a14:useLocalDpi xmlns:a14="http://schemas.microsoft.com/office/drawing/2010/main" val="0"/>
                        </a:ext>
                      </a:extLst>
                    </a:blip>
                    <a:stretch>
                      <a:fillRect/>
                    </a:stretch>
                  </pic:blipFill>
                  <pic:spPr>
                    <a:xfrm>
                      <a:off x="0" y="0"/>
                      <a:ext cx="3470478" cy="4152900"/>
                    </a:xfrm>
                    <a:prstGeom prst="rect">
                      <a:avLst/>
                    </a:prstGeom>
                  </pic:spPr>
                </pic:pic>
              </a:graphicData>
            </a:graphic>
            <wp14:sizeRelH relativeFrom="page">
              <wp14:pctWidth>0</wp14:pctWidth>
            </wp14:sizeRelH>
            <wp14:sizeRelV relativeFrom="page">
              <wp14:pctHeight>0</wp14:pctHeight>
            </wp14:sizeRelV>
          </wp:anchor>
        </w:drawing>
      </w:r>
      <w:r w:rsidRPr="00395C59">
        <w:rPr>
          <w:rFonts w:cstheme="minorHAnsi"/>
          <w:b/>
          <w:sz w:val="28"/>
          <w:szCs w:val="28"/>
        </w:rPr>
        <w:t xml:space="preserve"> </w:t>
      </w:r>
    </w:p>
    <w:p w14:paraId="15E221CC"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1F375804"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2938612E"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noProof/>
          <w:sz w:val="28"/>
          <w:szCs w:val="28"/>
        </w:rPr>
        <w:drawing>
          <wp:anchor distT="0" distB="0" distL="114300" distR="114300" simplePos="0" relativeHeight="251660800" behindDoc="0" locked="0" layoutInCell="1" allowOverlap="1" wp14:anchorId="1A3969EE" wp14:editId="27A18FD3">
            <wp:simplePos x="0" y="0"/>
            <wp:positionH relativeFrom="column">
              <wp:posOffset>2274570</wp:posOffset>
            </wp:positionH>
            <wp:positionV relativeFrom="paragraph">
              <wp:posOffset>34925</wp:posOffset>
            </wp:positionV>
            <wp:extent cx="1227204" cy="102870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enda.png"/>
                    <pic:cNvPicPr/>
                  </pic:nvPicPr>
                  <pic:blipFill>
                    <a:blip r:embed="rId11">
                      <a:extLst>
                        <a:ext uri="{28A0092B-C50C-407E-A947-70E740481C1C}">
                          <a14:useLocalDpi xmlns:a14="http://schemas.microsoft.com/office/drawing/2010/main" val="0"/>
                        </a:ext>
                      </a:extLst>
                    </a:blip>
                    <a:stretch>
                      <a:fillRect/>
                    </a:stretch>
                  </pic:blipFill>
                  <pic:spPr>
                    <a:xfrm>
                      <a:off x="0" y="0"/>
                      <a:ext cx="1229278" cy="1030438"/>
                    </a:xfrm>
                    <a:prstGeom prst="rect">
                      <a:avLst/>
                    </a:prstGeom>
                  </pic:spPr>
                </pic:pic>
              </a:graphicData>
            </a:graphic>
            <wp14:sizeRelH relativeFrom="page">
              <wp14:pctWidth>0</wp14:pctWidth>
            </wp14:sizeRelH>
            <wp14:sizeRelV relativeFrom="page">
              <wp14:pctHeight>0</wp14:pctHeight>
            </wp14:sizeRelV>
          </wp:anchor>
        </w:drawing>
      </w:r>
    </w:p>
    <w:p w14:paraId="72F4DF60"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72A5286"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6DACA0D7"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12A340DC"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1BFBE901"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2A267DDE"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21B77176"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15887E1B"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05A9B2A"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1EFF6D6E"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4815E044"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0A49593D"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AF1260B"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504D4644"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F8D897A"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3DFE0F1"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2EC54C4D"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620CFC23"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2731C693"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B9BB28B" w14:textId="77777777" w:rsidR="00395C59" w:rsidRDefault="00395C59" w:rsidP="00395C59">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 xml:space="preserve">Istituto </w:t>
      </w:r>
      <w:proofErr w:type="spellStart"/>
      <w:r>
        <w:rPr>
          <w:rFonts w:cstheme="minorHAnsi"/>
          <w:spacing w:val="4"/>
          <w:sz w:val="22"/>
        </w:rPr>
        <w:t>Demoskopika</w:t>
      </w:r>
      <w:proofErr w:type="spellEnd"/>
      <w:r>
        <w:rPr>
          <w:rFonts w:cstheme="minorHAnsi"/>
          <w:spacing w:val="4"/>
          <w:sz w:val="22"/>
        </w:rPr>
        <w:t>.</w:t>
      </w:r>
    </w:p>
    <w:p w14:paraId="5F1D60BA"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05149E6F"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030EBA28"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67083BFD"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41F2403D"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05974126"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16AB123E"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BE79A48"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F169A1E"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61234232"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20AF5514" w14:textId="77777777" w:rsidR="001D6BA9" w:rsidRPr="00FF7807" w:rsidRDefault="005164E5" w:rsidP="001D6BA9">
      <w:pPr>
        <w:pStyle w:val="Intestazione"/>
        <w:tabs>
          <w:tab w:val="clear" w:pos="9638"/>
          <w:tab w:val="left" w:pos="709"/>
          <w:tab w:val="left" w:pos="1418"/>
          <w:tab w:val="left" w:pos="2890"/>
          <w:tab w:val="right" w:pos="10206"/>
        </w:tabs>
        <w:jc w:val="center"/>
        <w:rPr>
          <w:rFonts w:cstheme="minorHAnsi"/>
          <w:b/>
          <w:sz w:val="28"/>
          <w:szCs w:val="28"/>
        </w:rPr>
      </w:pPr>
      <w:r w:rsidRPr="00FF7807">
        <w:rPr>
          <w:rFonts w:cstheme="minorHAnsi"/>
          <w:b/>
          <w:sz w:val="28"/>
          <w:szCs w:val="28"/>
        </w:rPr>
        <w:t xml:space="preserve">tab. 1 </w:t>
      </w:r>
      <w:r w:rsidR="00735B7B" w:rsidRPr="00FF7807">
        <w:rPr>
          <w:rFonts w:cstheme="minorHAnsi"/>
          <w:b/>
          <w:sz w:val="28"/>
          <w:szCs w:val="28"/>
        </w:rPr>
        <w:t>–</w:t>
      </w:r>
      <w:r w:rsidRPr="00FF7807">
        <w:rPr>
          <w:rFonts w:cstheme="minorHAnsi"/>
          <w:b/>
          <w:sz w:val="28"/>
          <w:szCs w:val="28"/>
        </w:rPr>
        <w:t xml:space="preserve"> </w:t>
      </w:r>
      <w:r w:rsidR="00735B7B" w:rsidRPr="00FF7807">
        <w:rPr>
          <w:rFonts w:cstheme="minorHAnsi"/>
          <w:b/>
          <w:sz w:val="28"/>
          <w:szCs w:val="28"/>
        </w:rPr>
        <w:t>Gli occupati a tempo pieno e parziale</w:t>
      </w:r>
    </w:p>
    <w:p w14:paraId="015F9CBD" w14:textId="77777777" w:rsidR="00735B7B" w:rsidRDefault="00735B7B" w:rsidP="00735B7B">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Confronto periodo 2019 – 2020</w:t>
      </w:r>
      <w:r w:rsidR="00FF7807">
        <w:rPr>
          <w:rFonts w:cstheme="minorHAnsi"/>
          <w:sz w:val="22"/>
        </w:rPr>
        <w:t>. Valori assoluti e percentuali</w:t>
      </w:r>
    </w:p>
    <w:p w14:paraId="4C0CA22D" w14:textId="77777777" w:rsidR="00735B7B" w:rsidRDefault="00735B7B" w:rsidP="00735B7B">
      <w:pPr>
        <w:tabs>
          <w:tab w:val="left" w:pos="2910"/>
        </w:tabs>
      </w:pPr>
    </w:p>
    <w:p w14:paraId="1BB675F0" w14:textId="77777777" w:rsidR="001D6BA9" w:rsidRDefault="001D6BA9" w:rsidP="001D6BA9">
      <w:pPr>
        <w:pStyle w:val="Intestazione"/>
        <w:tabs>
          <w:tab w:val="left" w:pos="709"/>
          <w:tab w:val="left" w:pos="1418"/>
          <w:tab w:val="left" w:pos="2890"/>
        </w:tabs>
        <w:ind w:right="-82"/>
        <w:jc w:val="center"/>
        <w:rPr>
          <w:rFonts w:cstheme="minorHAnsi"/>
          <w:i/>
          <w:sz w:val="22"/>
        </w:rPr>
      </w:pPr>
    </w:p>
    <w:p w14:paraId="41D7321B" w14:textId="77777777" w:rsidR="001D6BA9" w:rsidRDefault="00FF7807" w:rsidP="001D6BA9">
      <w:pPr>
        <w:pStyle w:val="Intestazione"/>
        <w:tabs>
          <w:tab w:val="left" w:pos="709"/>
          <w:tab w:val="left" w:pos="1418"/>
          <w:tab w:val="left" w:pos="2890"/>
        </w:tabs>
        <w:ind w:right="-82"/>
        <w:jc w:val="center"/>
        <w:rPr>
          <w:rFonts w:cstheme="minorHAnsi"/>
          <w:i/>
          <w:sz w:val="22"/>
        </w:rPr>
      </w:pPr>
      <w:r w:rsidRPr="00FF7807">
        <w:rPr>
          <w:noProof/>
        </w:rPr>
        <w:drawing>
          <wp:inline distT="0" distB="0" distL="0" distR="0" wp14:anchorId="7C176C9D" wp14:editId="29AEB082">
            <wp:extent cx="6116320" cy="363608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3636080"/>
                    </a:xfrm>
                    <a:prstGeom prst="rect">
                      <a:avLst/>
                    </a:prstGeom>
                    <a:noFill/>
                    <a:ln>
                      <a:noFill/>
                    </a:ln>
                  </pic:spPr>
                </pic:pic>
              </a:graphicData>
            </a:graphic>
          </wp:inline>
        </w:drawing>
      </w:r>
    </w:p>
    <w:p w14:paraId="77AA1F4E" w14:textId="77777777" w:rsidR="001D6BA9" w:rsidRDefault="001D6BA9" w:rsidP="001D6BA9">
      <w:pPr>
        <w:pStyle w:val="Intestazione"/>
        <w:tabs>
          <w:tab w:val="left" w:pos="709"/>
          <w:tab w:val="left" w:pos="1418"/>
          <w:tab w:val="left" w:pos="2890"/>
        </w:tabs>
        <w:ind w:right="-82"/>
        <w:jc w:val="center"/>
        <w:rPr>
          <w:rFonts w:cstheme="minorHAnsi"/>
          <w:i/>
          <w:sz w:val="22"/>
        </w:rPr>
      </w:pPr>
    </w:p>
    <w:p w14:paraId="547FE9F2" w14:textId="77777777" w:rsidR="001D6BA9" w:rsidRDefault="001D6BA9" w:rsidP="001D6BA9">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Elabo</w:t>
      </w:r>
      <w:r w:rsidR="00735B7B">
        <w:rPr>
          <w:rFonts w:cstheme="minorHAnsi"/>
          <w:spacing w:val="4"/>
          <w:sz w:val="22"/>
        </w:rPr>
        <w:t xml:space="preserve">razione </w:t>
      </w:r>
      <w:proofErr w:type="spellStart"/>
      <w:r w:rsidR="00735B7B">
        <w:rPr>
          <w:rFonts w:cstheme="minorHAnsi"/>
          <w:spacing w:val="4"/>
          <w:sz w:val="22"/>
        </w:rPr>
        <w:t>Demoskopika</w:t>
      </w:r>
      <w:proofErr w:type="spellEnd"/>
      <w:r w:rsidR="00735B7B">
        <w:rPr>
          <w:rFonts w:cstheme="minorHAnsi"/>
          <w:spacing w:val="4"/>
          <w:sz w:val="22"/>
        </w:rPr>
        <w:t xml:space="preserve"> su dati ISTAT</w:t>
      </w:r>
      <w:r>
        <w:rPr>
          <w:rFonts w:cstheme="minorHAnsi"/>
          <w:spacing w:val="4"/>
          <w:sz w:val="22"/>
        </w:rPr>
        <w:t>.</w:t>
      </w:r>
    </w:p>
    <w:p w14:paraId="4A3ED76F" w14:textId="77777777" w:rsidR="001D6BA9" w:rsidRDefault="001D6BA9"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67DB9417"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6DCD1D3B"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0E74955"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3F5271B"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EEA1FEF"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6D7E7AC"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3DF6EC6"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DA99219"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4D569FC6"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0F3C4ED7"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7A954C4"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625A1B1"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CB8EFDE" w14:textId="77777777" w:rsidR="005164E5" w:rsidRPr="00A0731F" w:rsidRDefault="005164E5"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 xml:space="preserve">tab. 2 - Le </w:t>
      </w:r>
      <w:r w:rsidR="00937BE8">
        <w:rPr>
          <w:rFonts w:cstheme="minorHAnsi"/>
          <w:b/>
          <w:sz w:val="28"/>
          <w:szCs w:val="28"/>
        </w:rPr>
        <w:t>entrate tributarie ed extra-tributarie degli enti locali</w:t>
      </w:r>
    </w:p>
    <w:p w14:paraId="5DD71F6B" w14:textId="77777777" w:rsidR="00937BE8" w:rsidRDefault="005164E5" w:rsidP="00430A91">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Confronto</w:t>
      </w:r>
      <w:r w:rsidR="00937BE8">
        <w:rPr>
          <w:rFonts w:cstheme="minorHAnsi"/>
          <w:sz w:val="22"/>
        </w:rPr>
        <w:t xml:space="preserve"> periodo </w:t>
      </w:r>
      <w:r>
        <w:rPr>
          <w:rFonts w:cstheme="minorHAnsi"/>
          <w:sz w:val="22"/>
        </w:rPr>
        <w:t>2019 – 2020</w:t>
      </w:r>
      <w:r w:rsidR="00C1357C">
        <w:rPr>
          <w:rFonts w:cstheme="minorHAnsi"/>
          <w:sz w:val="22"/>
        </w:rPr>
        <w:t>. Valori in euro</w:t>
      </w:r>
    </w:p>
    <w:p w14:paraId="20DD2ACF" w14:textId="77777777" w:rsidR="00937BE8" w:rsidRDefault="00937BE8" w:rsidP="00937BE8">
      <w:pPr>
        <w:tabs>
          <w:tab w:val="left" w:pos="2910"/>
        </w:tabs>
      </w:pPr>
    </w:p>
    <w:p w14:paraId="5FBFFFFE" w14:textId="77777777" w:rsidR="00937BE8" w:rsidRDefault="00937BE8" w:rsidP="00937BE8">
      <w:pPr>
        <w:tabs>
          <w:tab w:val="left" w:pos="2910"/>
        </w:tabs>
      </w:pPr>
      <w:r w:rsidRPr="00937BE8">
        <w:rPr>
          <w:noProof/>
        </w:rPr>
        <w:drawing>
          <wp:inline distT="0" distB="0" distL="0" distR="0" wp14:anchorId="2DB62D3D" wp14:editId="40F257F9">
            <wp:extent cx="6116320" cy="3377717"/>
            <wp:effectExtent l="0" t="0" r="0" b="0"/>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3377717"/>
                    </a:xfrm>
                    <a:prstGeom prst="rect">
                      <a:avLst/>
                    </a:prstGeom>
                    <a:noFill/>
                    <a:ln>
                      <a:noFill/>
                    </a:ln>
                  </pic:spPr>
                </pic:pic>
              </a:graphicData>
            </a:graphic>
          </wp:inline>
        </w:drawing>
      </w:r>
    </w:p>
    <w:p w14:paraId="63CCA756" w14:textId="77777777" w:rsidR="00937BE8" w:rsidRDefault="00937BE8" w:rsidP="00937BE8"/>
    <w:p w14:paraId="3D3C75F2" w14:textId="77777777" w:rsidR="004712D6" w:rsidRDefault="00937BE8" w:rsidP="00937BE8">
      <w:pPr>
        <w:jc w:val="center"/>
      </w:pPr>
      <w:r w:rsidRPr="00503E49">
        <w:rPr>
          <w:rFonts w:asciiTheme="minorHAnsi" w:hAnsiTheme="minorHAnsi" w:cstheme="minorHAnsi"/>
          <w:i/>
          <w:sz w:val="22"/>
        </w:rPr>
        <w:t>Fonte:</w:t>
      </w:r>
      <w:r w:rsidRPr="00503E49">
        <w:rPr>
          <w:rFonts w:asciiTheme="minorHAnsi" w:hAnsiTheme="minorHAnsi" w:cstheme="minorHAnsi"/>
          <w:i/>
          <w:spacing w:val="-16"/>
          <w:sz w:val="22"/>
        </w:rPr>
        <w:t xml:space="preserve"> </w:t>
      </w:r>
      <w:r>
        <w:rPr>
          <w:rFonts w:asciiTheme="minorHAnsi" w:hAnsiTheme="minorHAnsi" w:cstheme="minorHAnsi"/>
          <w:spacing w:val="4"/>
          <w:sz w:val="22"/>
        </w:rPr>
        <w:t xml:space="preserve">Elaborazione </w:t>
      </w:r>
      <w:proofErr w:type="spellStart"/>
      <w:r>
        <w:rPr>
          <w:rFonts w:asciiTheme="minorHAnsi" w:hAnsiTheme="minorHAnsi" w:cstheme="minorHAnsi"/>
          <w:spacing w:val="4"/>
          <w:sz w:val="22"/>
        </w:rPr>
        <w:t>Demoskopika</w:t>
      </w:r>
      <w:proofErr w:type="spellEnd"/>
      <w:r>
        <w:rPr>
          <w:rFonts w:asciiTheme="minorHAnsi" w:hAnsiTheme="minorHAnsi" w:cstheme="minorHAnsi"/>
          <w:spacing w:val="4"/>
          <w:sz w:val="22"/>
        </w:rPr>
        <w:t xml:space="preserve"> su dati SIOPE.</w:t>
      </w:r>
    </w:p>
    <w:p w14:paraId="53858760" w14:textId="77777777" w:rsidR="004712D6" w:rsidRPr="004712D6" w:rsidRDefault="004712D6" w:rsidP="004712D6"/>
    <w:p w14:paraId="44A74C23" w14:textId="77777777" w:rsidR="004712D6" w:rsidRPr="004712D6" w:rsidRDefault="004712D6" w:rsidP="004712D6"/>
    <w:p w14:paraId="6120A185" w14:textId="77777777" w:rsidR="004712D6" w:rsidRPr="004712D6" w:rsidRDefault="004712D6" w:rsidP="004712D6"/>
    <w:p w14:paraId="3BE15E1B" w14:textId="77777777" w:rsidR="004712D6" w:rsidRPr="004712D6" w:rsidRDefault="004712D6" w:rsidP="004712D6"/>
    <w:p w14:paraId="4FE41623" w14:textId="77777777" w:rsidR="004712D6" w:rsidRPr="004712D6" w:rsidRDefault="004712D6" w:rsidP="004712D6"/>
    <w:p w14:paraId="7C321EDE" w14:textId="77777777" w:rsidR="004712D6" w:rsidRPr="004712D6" w:rsidRDefault="004712D6" w:rsidP="004712D6"/>
    <w:p w14:paraId="29D728E7" w14:textId="77777777" w:rsidR="004712D6" w:rsidRPr="004712D6" w:rsidRDefault="004712D6" w:rsidP="004712D6"/>
    <w:p w14:paraId="3E49024E" w14:textId="77777777" w:rsidR="004712D6" w:rsidRPr="004712D6" w:rsidRDefault="004712D6" w:rsidP="004712D6"/>
    <w:p w14:paraId="11EA42C1" w14:textId="77777777" w:rsidR="004712D6" w:rsidRPr="004712D6" w:rsidRDefault="004712D6" w:rsidP="004712D6"/>
    <w:p w14:paraId="630FA67A" w14:textId="77777777" w:rsidR="004712D6" w:rsidRPr="004712D6" w:rsidRDefault="004712D6" w:rsidP="004712D6"/>
    <w:p w14:paraId="6A727148" w14:textId="77777777" w:rsidR="004712D6" w:rsidRPr="004712D6" w:rsidRDefault="004712D6" w:rsidP="004712D6"/>
    <w:p w14:paraId="4370C4A0" w14:textId="77777777" w:rsidR="004712D6" w:rsidRPr="004712D6" w:rsidRDefault="004712D6" w:rsidP="004712D6"/>
    <w:p w14:paraId="5834166D" w14:textId="77777777" w:rsidR="004712D6" w:rsidRPr="004712D6" w:rsidRDefault="004712D6" w:rsidP="004712D6"/>
    <w:p w14:paraId="614D2771" w14:textId="77777777" w:rsidR="004712D6" w:rsidRPr="004712D6" w:rsidRDefault="004712D6" w:rsidP="004712D6"/>
    <w:p w14:paraId="67EEFDB4" w14:textId="77777777" w:rsidR="004712D6" w:rsidRDefault="004712D6" w:rsidP="004712D6"/>
    <w:p w14:paraId="5687D28F" w14:textId="77777777" w:rsidR="004712D6" w:rsidRDefault="004712D6" w:rsidP="004712D6"/>
    <w:p w14:paraId="33A58E91" w14:textId="77777777" w:rsidR="005164E5" w:rsidRDefault="005164E5" w:rsidP="004712D6">
      <w:pPr>
        <w:jc w:val="center"/>
      </w:pPr>
    </w:p>
    <w:p w14:paraId="715B299D" w14:textId="77777777" w:rsidR="004712D6" w:rsidRDefault="004712D6" w:rsidP="004712D6">
      <w:pPr>
        <w:jc w:val="center"/>
      </w:pPr>
    </w:p>
    <w:p w14:paraId="51585D2D" w14:textId="77777777" w:rsidR="004712D6" w:rsidRDefault="004712D6" w:rsidP="004712D6">
      <w:pPr>
        <w:jc w:val="center"/>
      </w:pPr>
    </w:p>
    <w:p w14:paraId="45FB6BFA" w14:textId="77777777" w:rsidR="004712D6" w:rsidRDefault="004712D6" w:rsidP="004712D6">
      <w:pPr>
        <w:jc w:val="center"/>
      </w:pPr>
    </w:p>
    <w:p w14:paraId="596A2D7C" w14:textId="77777777" w:rsidR="004712D6" w:rsidRDefault="004712D6" w:rsidP="004712D6">
      <w:pPr>
        <w:jc w:val="center"/>
      </w:pPr>
    </w:p>
    <w:p w14:paraId="595FDBD1" w14:textId="77777777" w:rsidR="004712D6" w:rsidRPr="00A0731F" w:rsidRDefault="004712D6"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lastRenderedPageBreak/>
        <w:t xml:space="preserve">tab. 3 </w:t>
      </w:r>
      <w:r w:rsidR="0092792B">
        <w:rPr>
          <w:rFonts w:cstheme="minorHAnsi"/>
          <w:b/>
          <w:sz w:val="28"/>
          <w:szCs w:val="28"/>
        </w:rPr>
        <w:t>–</w:t>
      </w:r>
      <w:r>
        <w:rPr>
          <w:rFonts w:cstheme="minorHAnsi"/>
          <w:b/>
          <w:sz w:val="28"/>
          <w:szCs w:val="28"/>
        </w:rPr>
        <w:t xml:space="preserve"> </w:t>
      </w:r>
      <w:r w:rsidR="0092792B">
        <w:rPr>
          <w:rFonts w:cstheme="minorHAnsi"/>
          <w:b/>
          <w:sz w:val="28"/>
          <w:szCs w:val="28"/>
        </w:rPr>
        <w:t>I prestiti al sistema imprenditoriale</w:t>
      </w:r>
    </w:p>
    <w:p w14:paraId="4D80BEBC" w14:textId="77777777" w:rsidR="004712D6" w:rsidRDefault="004712D6" w:rsidP="00430A91">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Confronto periodo 2019 – 2020</w:t>
      </w:r>
      <w:r w:rsidR="0092792B">
        <w:rPr>
          <w:rFonts w:cstheme="minorHAnsi"/>
          <w:sz w:val="22"/>
        </w:rPr>
        <w:t xml:space="preserve">. </w:t>
      </w:r>
      <w:r w:rsidR="00C1357C">
        <w:rPr>
          <w:rFonts w:cstheme="minorHAnsi"/>
          <w:sz w:val="22"/>
        </w:rPr>
        <w:t>Valori</w:t>
      </w:r>
      <w:r w:rsidR="00585A4A">
        <w:rPr>
          <w:rFonts w:cstheme="minorHAnsi"/>
          <w:sz w:val="22"/>
        </w:rPr>
        <w:t xml:space="preserve"> in </w:t>
      </w:r>
      <w:r w:rsidR="0092792B">
        <w:rPr>
          <w:rFonts w:cstheme="minorHAnsi"/>
          <w:sz w:val="22"/>
        </w:rPr>
        <w:t>migliaia di euro</w:t>
      </w:r>
    </w:p>
    <w:p w14:paraId="5F221C05" w14:textId="77777777" w:rsidR="004712D6" w:rsidRDefault="004712D6" w:rsidP="004712D6">
      <w:pPr>
        <w:jc w:val="center"/>
      </w:pPr>
    </w:p>
    <w:p w14:paraId="3A99D0F8" w14:textId="77777777" w:rsidR="0092792B" w:rsidRDefault="004712D6" w:rsidP="004712D6">
      <w:pPr>
        <w:jc w:val="center"/>
      </w:pPr>
      <w:r w:rsidRPr="004712D6">
        <w:rPr>
          <w:noProof/>
        </w:rPr>
        <w:drawing>
          <wp:inline distT="0" distB="0" distL="0" distR="0" wp14:anchorId="2C25CAFE" wp14:editId="40E93C74">
            <wp:extent cx="6116320" cy="3956518"/>
            <wp:effectExtent l="0" t="0" r="0" b="6350"/>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956518"/>
                    </a:xfrm>
                    <a:prstGeom prst="rect">
                      <a:avLst/>
                    </a:prstGeom>
                    <a:noFill/>
                    <a:ln>
                      <a:noFill/>
                    </a:ln>
                  </pic:spPr>
                </pic:pic>
              </a:graphicData>
            </a:graphic>
          </wp:inline>
        </w:drawing>
      </w:r>
    </w:p>
    <w:p w14:paraId="39F29C2D" w14:textId="77777777" w:rsidR="0092792B" w:rsidRPr="0092792B" w:rsidRDefault="0092792B" w:rsidP="0092792B"/>
    <w:p w14:paraId="2B5E3B46" w14:textId="77777777" w:rsidR="0092792B" w:rsidRDefault="0092792B" w:rsidP="0092792B"/>
    <w:p w14:paraId="5914A67F" w14:textId="77777777" w:rsidR="0092792B" w:rsidRDefault="0092792B" w:rsidP="0092792B">
      <w:pPr>
        <w:jc w:val="center"/>
      </w:pPr>
      <w:r w:rsidRPr="00503E49">
        <w:rPr>
          <w:rFonts w:asciiTheme="minorHAnsi" w:hAnsiTheme="minorHAnsi" w:cstheme="minorHAnsi"/>
          <w:i/>
          <w:sz w:val="22"/>
        </w:rPr>
        <w:t>Fonte:</w:t>
      </w:r>
      <w:r w:rsidRPr="00503E49">
        <w:rPr>
          <w:rFonts w:asciiTheme="minorHAnsi" w:hAnsiTheme="minorHAnsi" w:cstheme="minorHAnsi"/>
          <w:i/>
          <w:spacing w:val="-16"/>
          <w:sz w:val="22"/>
        </w:rPr>
        <w:t xml:space="preserve"> </w:t>
      </w:r>
      <w:r>
        <w:rPr>
          <w:rFonts w:asciiTheme="minorHAnsi" w:hAnsiTheme="minorHAnsi" w:cstheme="minorHAnsi"/>
          <w:spacing w:val="4"/>
          <w:sz w:val="22"/>
        </w:rPr>
        <w:t xml:space="preserve">Elaborazione </w:t>
      </w:r>
      <w:proofErr w:type="spellStart"/>
      <w:r>
        <w:rPr>
          <w:rFonts w:asciiTheme="minorHAnsi" w:hAnsiTheme="minorHAnsi" w:cstheme="minorHAnsi"/>
          <w:spacing w:val="4"/>
          <w:sz w:val="22"/>
        </w:rPr>
        <w:t>Demoskopika</w:t>
      </w:r>
      <w:proofErr w:type="spellEnd"/>
      <w:r>
        <w:rPr>
          <w:rFonts w:asciiTheme="minorHAnsi" w:hAnsiTheme="minorHAnsi" w:cstheme="minorHAnsi"/>
          <w:spacing w:val="4"/>
          <w:sz w:val="22"/>
        </w:rPr>
        <w:t xml:space="preserve"> su dati Banca d’Italia.</w:t>
      </w:r>
    </w:p>
    <w:p w14:paraId="08444D93" w14:textId="77777777" w:rsidR="004712D6" w:rsidRDefault="004712D6" w:rsidP="0092792B">
      <w:pPr>
        <w:jc w:val="center"/>
      </w:pPr>
    </w:p>
    <w:p w14:paraId="3F60C869" w14:textId="77777777" w:rsidR="002E3520" w:rsidRDefault="002E3520" w:rsidP="0092792B">
      <w:pPr>
        <w:jc w:val="center"/>
      </w:pPr>
    </w:p>
    <w:p w14:paraId="7EF52CF9" w14:textId="77777777" w:rsidR="002E3520" w:rsidRDefault="002E3520" w:rsidP="0092792B">
      <w:pPr>
        <w:jc w:val="center"/>
      </w:pPr>
    </w:p>
    <w:p w14:paraId="1ECB3B94" w14:textId="77777777" w:rsidR="002E3520" w:rsidRDefault="002E3520" w:rsidP="0092792B">
      <w:pPr>
        <w:jc w:val="center"/>
      </w:pPr>
    </w:p>
    <w:p w14:paraId="75B95EA0" w14:textId="77777777" w:rsidR="002E3520" w:rsidRDefault="002E3520" w:rsidP="0092792B">
      <w:pPr>
        <w:jc w:val="center"/>
      </w:pPr>
    </w:p>
    <w:p w14:paraId="6370135D" w14:textId="77777777" w:rsidR="002E3520" w:rsidRDefault="002E3520" w:rsidP="0092792B">
      <w:pPr>
        <w:jc w:val="center"/>
      </w:pPr>
    </w:p>
    <w:p w14:paraId="5DA3BEB6" w14:textId="77777777" w:rsidR="002E3520" w:rsidRDefault="002E3520" w:rsidP="0092792B">
      <w:pPr>
        <w:jc w:val="center"/>
      </w:pPr>
    </w:p>
    <w:p w14:paraId="6DD8237B" w14:textId="77777777" w:rsidR="002E3520" w:rsidRDefault="002E3520" w:rsidP="0092792B">
      <w:pPr>
        <w:jc w:val="center"/>
      </w:pPr>
    </w:p>
    <w:p w14:paraId="17D61DF2" w14:textId="77777777" w:rsidR="002E3520" w:rsidRDefault="002E3520" w:rsidP="0092792B">
      <w:pPr>
        <w:jc w:val="center"/>
      </w:pPr>
    </w:p>
    <w:p w14:paraId="0C4794EC" w14:textId="77777777" w:rsidR="002E3520" w:rsidRDefault="002E3520" w:rsidP="0092792B">
      <w:pPr>
        <w:jc w:val="center"/>
      </w:pPr>
    </w:p>
    <w:p w14:paraId="3128EA91" w14:textId="77777777" w:rsidR="002E3520" w:rsidRDefault="002E3520" w:rsidP="0092792B">
      <w:pPr>
        <w:jc w:val="center"/>
      </w:pPr>
    </w:p>
    <w:p w14:paraId="09BB856F" w14:textId="77777777" w:rsidR="002E3520" w:rsidRDefault="002E3520" w:rsidP="0092792B">
      <w:pPr>
        <w:jc w:val="center"/>
      </w:pPr>
    </w:p>
    <w:p w14:paraId="79FAB51C" w14:textId="77777777" w:rsidR="002E3520" w:rsidRDefault="002E3520" w:rsidP="0092792B">
      <w:pPr>
        <w:jc w:val="center"/>
      </w:pPr>
    </w:p>
    <w:p w14:paraId="2202DF72" w14:textId="77777777" w:rsidR="002E3520" w:rsidRDefault="002E3520" w:rsidP="0092792B">
      <w:pPr>
        <w:jc w:val="center"/>
      </w:pPr>
    </w:p>
    <w:p w14:paraId="6342DE05" w14:textId="77777777" w:rsidR="002E3520" w:rsidRDefault="002E3520" w:rsidP="0092792B">
      <w:pPr>
        <w:jc w:val="center"/>
      </w:pPr>
    </w:p>
    <w:p w14:paraId="174C5C35" w14:textId="77777777" w:rsidR="002E3520" w:rsidRDefault="002E3520" w:rsidP="0092792B">
      <w:pPr>
        <w:jc w:val="center"/>
      </w:pPr>
    </w:p>
    <w:p w14:paraId="677A106E" w14:textId="77777777" w:rsidR="002E3520" w:rsidRDefault="002E3520" w:rsidP="0092792B">
      <w:pPr>
        <w:jc w:val="center"/>
      </w:pPr>
    </w:p>
    <w:p w14:paraId="50D5281F" w14:textId="77777777" w:rsidR="00430A91" w:rsidRDefault="00430A91" w:rsidP="00430A91">
      <w:pPr>
        <w:pStyle w:val="Intestazione"/>
        <w:tabs>
          <w:tab w:val="clear" w:pos="9638"/>
          <w:tab w:val="left" w:pos="709"/>
          <w:tab w:val="left" w:pos="1418"/>
          <w:tab w:val="left" w:pos="2890"/>
          <w:tab w:val="right" w:pos="10206"/>
        </w:tabs>
        <w:jc w:val="center"/>
        <w:rPr>
          <w:rFonts w:cstheme="minorHAnsi"/>
          <w:b/>
          <w:sz w:val="28"/>
          <w:szCs w:val="28"/>
        </w:rPr>
      </w:pPr>
    </w:p>
    <w:p w14:paraId="1C711723" w14:textId="77777777" w:rsidR="002E3520" w:rsidRPr="00A0731F" w:rsidRDefault="002E3520"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lastRenderedPageBreak/>
        <w:t>tab. 4 – Il credito al consumo concesso alle famiglie</w:t>
      </w:r>
    </w:p>
    <w:p w14:paraId="39916671" w14:textId="77777777" w:rsidR="002E3520" w:rsidRDefault="002E3520" w:rsidP="00430A91">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 xml:space="preserve">Confronto periodo settembre 2019 – settembre 2020. </w:t>
      </w:r>
      <w:r w:rsidR="00C1357C">
        <w:rPr>
          <w:rFonts w:cstheme="minorHAnsi"/>
          <w:sz w:val="22"/>
        </w:rPr>
        <w:t>Valori</w:t>
      </w:r>
      <w:r>
        <w:rPr>
          <w:rFonts w:cstheme="minorHAnsi"/>
          <w:sz w:val="22"/>
        </w:rPr>
        <w:t xml:space="preserve"> in migliaia di euro</w:t>
      </w:r>
    </w:p>
    <w:p w14:paraId="1A13D6E4" w14:textId="77777777" w:rsidR="002E3520" w:rsidRDefault="002E3520" w:rsidP="0092792B">
      <w:pPr>
        <w:jc w:val="center"/>
      </w:pPr>
    </w:p>
    <w:p w14:paraId="0627BA81" w14:textId="77777777" w:rsidR="002E3520" w:rsidRDefault="002E3520" w:rsidP="0092792B">
      <w:pPr>
        <w:jc w:val="center"/>
      </w:pPr>
      <w:r w:rsidRPr="002E3520">
        <w:rPr>
          <w:noProof/>
        </w:rPr>
        <w:drawing>
          <wp:inline distT="0" distB="0" distL="0" distR="0" wp14:anchorId="4EC1013C" wp14:editId="5D59457E">
            <wp:extent cx="6116320" cy="3339334"/>
            <wp:effectExtent l="0" t="0" r="0" b="0"/>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339334"/>
                    </a:xfrm>
                    <a:prstGeom prst="rect">
                      <a:avLst/>
                    </a:prstGeom>
                    <a:noFill/>
                    <a:ln>
                      <a:noFill/>
                    </a:ln>
                  </pic:spPr>
                </pic:pic>
              </a:graphicData>
            </a:graphic>
          </wp:inline>
        </w:drawing>
      </w:r>
    </w:p>
    <w:p w14:paraId="3D2A99E4" w14:textId="77777777" w:rsidR="002E3520" w:rsidRPr="002E3520" w:rsidRDefault="002E3520" w:rsidP="002E3520"/>
    <w:p w14:paraId="265E8E0E" w14:textId="77777777" w:rsidR="002E3520" w:rsidRDefault="002E3520" w:rsidP="002E3520"/>
    <w:p w14:paraId="147C7AD7" w14:textId="77777777" w:rsidR="002E3520" w:rsidRDefault="002E3520" w:rsidP="002E3520">
      <w:pPr>
        <w:jc w:val="center"/>
      </w:pPr>
      <w:r>
        <w:tab/>
      </w:r>
      <w:r w:rsidRPr="00503E49">
        <w:rPr>
          <w:rFonts w:asciiTheme="minorHAnsi" w:hAnsiTheme="minorHAnsi" w:cstheme="minorHAnsi"/>
          <w:i/>
          <w:sz w:val="22"/>
        </w:rPr>
        <w:t>Fonte:</w:t>
      </w:r>
      <w:r w:rsidRPr="00503E49">
        <w:rPr>
          <w:rFonts w:asciiTheme="minorHAnsi" w:hAnsiTheme="minorHAnsi" w:cstheme="minorHAnsi"/>
          <w:i/>
          <w:spacing w:val="-16"/>
          <w:sz w:val="22"/>
        </w:rPr>
        <w:t xml:space="preserve"> </w:t>
      </w:r>
      <w:r>
        <w:rPr>
          <w:rFonts w:asciiTheme="minorHAnsi" w:hAnsiTheme="minorHAnsi" w:cstheme="minorHAnsi"/>
          <w:spacing w:val="4"/>
          <w:sz w:val="22"/>
        </w:rPr>
        <w:t xml:space="preserve">Elaborazione </w:t>
      </w:r>
      <w:proofErr w:type="spellStart"/>
      <w:r>
        <w:rPr>
          <w:rFonts w:asciiTheme="minorHAnsi" w:hAnsiTheme="minorHAnsi" w:cstheme="minorHAnsi"/>
          <w:spacing w:val="4"/>
          <w:sz w:val="22"/>
        </w:rPr>
        <w:t>Demoskopika</w:t>
      </w:r>
      <w:proofErr w:type="spellEnd"/>
      <w:r>
        <w:rPr>
          <w:rFonts w:asciiTheme="minorHAnsi" w:hAnsiTheme="minorHAnsi" w:cstheme="minorHAnsi"/>
          <w:spacing w:val="4"/>
          <w:sz w:val="22"/>
        </w:rPr>
        <w:t xml:space="preserve"> su dati Banca d’Italia.</w:t>
      </w:r>
    </w:p>
    <w:p w14:paraId="06815616" w14:textId="77777777" w:rsidR="002E3520" w:rsidRDefault="002E3520" w:rsidP="002E3520">
      <w:pPr>
        <w:tabs>
          <w:tab w:val="left" w:pos="4032"/>
        </w:tabs>
      </w:pPr>
    </w:p>
    <w:p w14:paraId="2AD04483" w14:textId="77777777" w:rsidR="00430A91" w:rsidRDefault="00430A91" w:rsidP="002E3520">
      <w:pPr>
        <w:tabs>
          <w:tab w:val="left" w:pos="4032"/>
        </w:tabs>
      </w:pPr>
    </w:p>
    <w:p w14:paraId="12E12A1D" w14:textId="77777777" w:rsidR="00430A91" w:rsidRDefault="00430A91" w:rsidP="002E3520">
      <w:pPr>
        <w:tabs>
          <w:tab w:val="left" w:pos="4032"/>
        </w:tabs>
      </w:pPr>
    </w:p>
    <w:p w14:paraId="631949D0" w14:textId="77777777" w:rsidR="00430A91" w:rsidRDefault="00430A91" w:rsidP="002E3520">
      <w:pPr>
        <w:tabs>
          <w:tab w:val="left" w:pos="4032"/>
        </w:tabs>
      </w:pPr>
    </w:p>
    <w:p w14:paraId="5C31A201" w14:textId="77777777" w:rsidR="00430A91" w:rsidRDefault="00430A91" w:rsidP="002E3520">
      <w:pPr>
        <w:tabs>
          <w:tab w:val="left" w:pos="4032"/>
        </w:tabs>
      </w:pPr>
    </w:p>
    <w:p w14:paraId="7720DA59" w14:textId="77777777" w:rsidR="00430A91" w:rsidRDefault="00430A91" w:rsidP="002E3520">
      <w:pPr>
        <w:tabs>
          <w:tab w:val="left" w:pos="4032"/>
        </w:tabs>
      </w:pPr>
    </w:p>
    <w:p w14:paraId="42658E4E" w14:textId="77777777" w:rsidR="00430A91" w:rsidRDefault="00430A91" w:rsidP="002E3520">
      <w:pPr>
        <w:tabs>
          <w:tab w:val="left" w:pos="4032"/>
        </w:tabs>
      </w:pPr>
    </w:p>
    <w:p w14:paraId="4D11177C" w14:textId="77777777" w:rsidR="00430A91" w:rsidRDefault="00430A91" w:rsidP="002E3520">
      <w:pPr>
        <w:tabs>
          <w:tab w:val="left" w:pos="4032"/>
        </w:tabs>
      </w:pPr>
    </w:p>
    <w:p w14:paraId="23BEBF06" w14:textId="77777777" w:rsidR="00430A91" w:rsidRDefault="00430A91" w:rsidP="002E3520">
      <w:pPr>
        <w:tabs>
          <w:tab w:val="left" w:pos="4032"/>
        </w:tabs>
      </w:pPr>
    </w:p>
    <w:p w14:paraId="67B30DE3" w14:textId="77777777" w:rsidR="00430A91" w:rsidRDefault="00430A91" w:rsidP="002E3520">
      <w:pPr>
        <w:tabs>
          <w:tab w:val="left" w:pos="4032"/>
        </w:tabs>
      </w:pPr>
    </w:p>
    <w:p w14:paraId="5B28ACF5" w14:textId="77777777" w:rsidR="00430A91" w:rsidRDefault="00430A91" w:rsidP="002E3520">
      <w:pPr>
        <w:tabs>
          <w:tab w:val="left" w:pos="4032"/>
        </w:tabs>
      </w:pPr>
    </w:p>
    <w:p w14:paraId="428017A2" w14:textId="77777777" w:rsidR="00430A91" w:rsidRDefault="00430A91" w:rsidP="002E3520">
      <w:pPr>
        <w:tabs>
          <w:tab w:val="left" w:pos="4032"/>
        </w:tabs>
      </w:pPr>
    </w:p>
    <w:p w14:paraId="47177984" w14:textId="77777777" w:rsidR="00430A91" w:rsidRDefault="00430A91" w:rsidP="002E3520">
      <w:pPr>
        <w:tabs>
          <w:tab w:val="left" w:pos="4032"/>
        </w:tabs>
      </w:pPr>
    </w:p>
    <w:p w14:paraId="6A9DAAB9" w14:textId="77777777" w:rsidR="00430A91" w:rsidRDefault="00430A91" w:rsidP="002E3520">
      <w:pPr>
        <w:tabs>
          <w:tab w:val="left" w:pos="4032"/>
        </w:tabs>
      </w:pPr>
    </w:p>
    <w:p w14:paraId="3DAB5905" w14:textId="77777777" w:rsidR="00430A91" w:rsidRDefault="00430A91" w:rsidP="002E3520">
      <w:pPr>
        <w:tabs>
          <w:tab w:val="left" w:pos="4032"/>
        </w:tabs>
      </w:pPr>
    </w:p>
    <w:p w14:paraId="7182D82D" w14:textId="77777777" w:rsidR="00430A91" w:rsidRDefault="00430A91" w:rsidP="002E3520">
      <w:pPr>
        <w:tabs>
          <w:tab w:val="left" w:pos="4032"/>
        </w:tabs>
      </w:pPr>
    </w:p>
    <w:p w14:paraId="43AC1B80" w14:textId="77777777" w:rsidR="00430A91" w:rsidRDefault="00430A91" w:rsidP="002E3520">
      <w:pPr>
        <w:tabs>
          <w:tab w:val="left" w:pos="4032"/>
        </w:tabs>
      </w:pPr>
    </w:p>
    <w:p w14:paraId="3CA7DFBB" w14:textId="77777777" w:rsidR="00430A91" w:rsidRDefault="00430A91" w:rsidP="002E3520">
      <w:pPr>
        <w:tabs>
          <w:tab w:val="left" w:pos="4032"/>
        </w:tabs>
      </w:pPr>
    </w:p>
    <w:p w14:paraId="0F3EE7CC" w14:textId="77777777" w:rsidR="00430A91" w:rsidRDefault="00430A91" w:rsidP="002E3520">
      <w:pPr>
        <w:tabs>
          <w:tab w:val="left" w:pos="4032"/>
        </w:tabs>
      </w:pPr>
    </w:p>
    <w:p w14:paraId="7B4F2EEF" w14:textId="77777777" w:rsidR="00430A91" w:rsidRDefault="00430A91" w:rsidP="002E3520">
      <w:pPr>
        <w:tabs>
          <w:tab w:val="left" w:pos="4032"/>
        </w:tabs>
      </w:pPr>
    </w:p>
    <w:p w14:paraId="27C87F03" w14:textId="77777777" w:rsidR="00430A91" w:rsidRDefault="00430A91" w:rsidP="002E3520">
      <w:pPr>
        <w:tabs>
          <w:tab w:val="left" w:pos="4032"/>
        </w:tabs>
      </w:pPr>
    </w:p>
    <w:p w14:paraId="51BD570D" w14:textId="77777777" w:rsidR="00430A91" w:rsidRDefault="00430A91" w:rsidP="002E3520">
      <w:pPr>
        <w:tabs>
          <w:tab w:val="left" w:pos="4032"/>
        </w:tabs>
      </w:pPr>
    </w:p>
    <w:p w14:paraId="67C17A11" w14:textId="77777777" w:rsidR="00992EBC" w:rsidRDefault="00992EBC" w:rsidP="002E3520">
      <w:pPr>
        <w:tabs>
          <w:tab w:val="left" w:pos="4032"/>
        </w:tabs>
      </w:pPr>
    </w:p>
    <w:p w14:paraId="0474D10B" w14:textId="77777777" w:rsidR="00430A91" w:rsidRPr="00A0731F" w:rsidRDefault="00430A91"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tab</w:t>
      </w:r>
      <w:r w:rsidR="00C1357C">
        <w:rPr>
          <w:rFonts w:cstheme="minorHAnsi"/>
          <w:b/>
          <w:sz w:val="28"/>
          <w:szCs w:val="28"/>
        </w:rPr>
        <w:t>. 5</w:t>
      </w:r>
      <w:r>
        <w:rPr>
          <w:rFonts w:cstheme="minorHAnsi"/>
          <w:b/>
          <w:sz w:val="28"/>
          <w:szCs w:val="28"/>
        </w:rPr>
        <w:t xml:space="preserve"> – </w:t>
      </w:r>
      <w:r w:rsidR="00C1357C">
        <w:rPr>
          <w:rFonts w:cstheme="minorHAnsi"/>
          <w:b/>
          <w:sz w:val="28"/>
          <w:szCs w:val="28"/>
        </w:rPr>
        <w:t>L’incidenza della povertà relativa familiare</w:t>
      </w:r>
    </w:p>
    <w:p w14:paraId="108457EF" w14:textId="77777777" w:rsidR="00992EBC" w:rsidRDefault="00430A91" w:rsidP="00430A91">
      <w:pPr>
        <w:tabs>
          <w:tab w:val="left" w:pos="4032"/>
        </w:tabs>
        <w:jc w:val="center"/>
      </w:pPr>
      <w:r>
        <w:rPr>
          <w:rFonts w:asciiTheme="minorHAnsi" w:hAnsiTheme="minorHAnsi" w:cstheme="minorHAnsi"/>
          <w:sz w:val="22"/>
        </w:rPr>
        <w:t>Confronto</w:t>
      </w:r>
      <w:r>
        <w:rPr>
          <w:rFonts w:cstheme="minorHAnsi"/>
          <w:sz w:val="22"/>
        </w:rPr>
        <w:t xml:space="preserve"> periodo </w:t>
      </w:r>
      <w:r>
        <w:rPr>
          <w:rFonts w:asciiTheme="minorHAnsi" w:hAnsiTheme="minorHAnsi" w:cstheme="minorHAnsi"/>
          <w:sz w:val="22"/>
        </w:rPr>
        <w:t>2019 – 2020</w:t>
      </w:r>
      <w:r w:rsidR="00992EBC">
        <w:rPr>
          <w:rFonts w:asciiTheme="minorHAnsi" w:hAnsiTheme="minorHAnsi" w:cstheme="minorHAnsi"/>
          <w:sz w:val="22"/>
        </w:rPr>
        <w:t>*</w:t>
      </w:r>
    </w:p>
    <w:p w14:paraId="402E237F" w14:textId="77777777" w:rsidR="00992EBC" w:rsidRDefault="00992EBC" w:rsidP="00992EBC"/>
    <w:p w14:paraId="45149767" w14:textId="77777777" w:rsidR="00992EBC" w:rsidRDefault="00D940C8" w:rsidP="00992EBC">
      <w:pPr>
        <w:jc w:val="center"/>
      </w:pPr>
      <w:r w:rsidRPr="00D940C8">
        <w:rPr>
          <w:noProof/>
        </w:rPr>
        <w:drawing>
          <wp:inline distT="0" distB="0" distL="0" distR="0" wp14:anchorId="44CBE5CA" wp14:editId="5D3B4941">
            <wp:extent cx="6116320" cy="3120150"/>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3120150"/>
                    </a:xfrm>
                    <a:prstGeom prst="rect">
                      <a:avLst/>
                    </a:prstGeom>
                    <a:noFill/>
                    <a:ln>
                      <a:noFill/>
                    </a:ln>
                  </pic:spPr>
                </pic:pic>
              </a:graphicData>
            </a:graphic>
          </wp:inline>
        </w:drawing>
      </w:r>
    </w:p>
    <w:p w14:paraId="42012335" w14:textId="77777777" w:rsidR="00992EBC" w:rsidRPr="00992EBC" w:rsidRDefault="00992EBC" w:rsidP="00992EBC"/>
    <w:p w14:paraId="40B08B76" w14:textId="77777777" w:rsidR="00992EBC" w:rsidRDefault="00992EBC" w:rsidP="00992EBC"/>
    <w:p w14:paraId="4FE2F439" w14:textId="77777777" w:rsidR="00430A91" w:rsidRDefault="00992EBC" w:rsidP="00992EBC">
      <w:pPr>
        <w:tabs>
          <w:tab w:val="left" w:pos="4020"/>
        </w:tabs>
        <w:jc w:val="center"/>
        <w:rPr>
          <w:rFonts w:asciiTheme="minorHAnsi" w:hAnsiTheme="minorHAnsi" w:cstheme="minorHAnsi"/>
          <w:spacing w:val="4"/>
          <w:sz w:val="22"/>
        </w:rPr>
      </w:pPr>
      <w:r w:rsidRPr="00503E49">
        <w:rPr>
          <w:rFonts w:asciiTheme="minorHAnsi" w:hAnsiTheme="minorHAnsi" w:cstheme="minorHAnsi"/>
          <w:i/>
          <w:sz w:val="22"/>
        </w:rPr>
        <w:t>Fonte:</w:t>
      </w:r>
      <w:r w:rsidRPr="00503E49">
        <w:rPr>
          <w:rFonts w:asciiTheme="minorHAnsi" w:hAnsiTheme="minorHAnsi" w:cstheme="minorHAnsi"/>
          <w:i/>
          <w:spacing w:val="-16"/>
          <w:sz w:val="22"/>
        </w:rPr>
        <w:t xml:space="preserve"> </w:t>
      </w:r>
      <w:r>
        <w:rPr>
          <w:rFonts w:asciiTheme="minorHAnsi" w:hAnsiTheme="minorHAnsi" w:cstheme="minorHAnsi"/>
          <w:spacing w:val="4"/>
          <w:sz w:val="22"/>
        </w:rPr>
        <w:t xml:space="preserve">Elaborazione </w:t>
      </w:r>
      <w:proofErr w:type="spellStart"/>
      <w:r>
        <w:rPr>
          <w:rFonts w:asciiTheme="minorHAnsi" w:hAnsiTheme="minorHAnsi" w:cstheme="minorHAnsi"/>
          <w:spacing w:val="4"/>
          <w:sz w:val="22"/>
        </w:rPr>
        <w:t>Demoskopika</w:t>
      </w:r>
      <w:proofErr w:type="spellEnd"/>
      <w:r>
        <w:rPr>
          <w:rFonts w:asciiTheme="minorHAnsi" w:hAnsiTheme="minorHAnsi" w:cstheme="minorHAnsi"/>
          <w:spacing w:val="4"/>
          <w:sz w:val="22"/>
        </w:rPr>
        <w:t xml:space="preserve"> su dati ISTAT.</w:t>
      </w:r>
    </w:p>
    <w:p w14:paraId="50C01E0D" w14:textId="77777777" w:rsidR="00992EBC" w:rsidRDefault="00992EBC" w:rsidP="00992EBC">
      <w:pPr>
        <w:tabs>
          <w:tab w:val="left" w:pos="4020"/>
        </w:tabs>
        <w:jc w:val="center"/>
        <w:rPr>
          <w:rFonts w:asciiTheme="minorHAnsi" w:hAnsiTheme="minorHAnsi" w:cstheme="minorHAnsi"/>
          <w:spacing w:val="4"/>
          <w:sz w:val="22"/>
        </w:rPr>
      </w:pPr>
      <w:r>
        <w:rPr>
          <w:rFonts w:asciiTheme="minorHAnsi" w:hAnsiTheme="minorHAnsi" w:cstheme="minorHAnsi"/>
          <w:spacing w:val="4"/>
          <w:sz w:val="22"/>
        </w:rPr>
        <w:t xml:space="preserve">*I dati riferiti al 2020 sono stimati da </w:t>
      </w:r>
      <w:proofErr w:type="spellStart"/>
      <w:r>
        <w:rPr>
          <w:rFonts w:asciiTheme="minorHAnsi" w:hAnsiTheme="minorHAnsi" w:cstheme="minorHAnsi"/>
          <w:spacing w:val="4"/>
          <w:sz w:val="22"/>
        </w:rPr>
        <w:t>Demoskopika</w:t>
      </w:r>
      <w:proofErr w:type="spellEnd"/>
      <w:r>
        <w:rPr>
          <w:rFonts w:asciiTheme="minorHAnsi" w:hAnsiTheme="minorHAnsi" w:cstheme="minorHAnsi"/>
          <w:spacing w:val="4"/>
          <w:sz w:val="22"/>
        </w:rPr>
        <w:t>.</w:t>
      </w:r>
    </w:p>
    <w:p w14:paraId="754DAF69" w14:textId="77777777" w:rsidR="00F82C69" w:rsidRDefault="00F82C69" w:rsidP="00992EBC">
      <w:pPr>
        <w:tabs>
          <w:tab w:val="left" w:pos="4020"/>
        </w:tabs>
        <w:jc w:val="center"/>
        <w:rPr>
          <w:rFonts w:asciiTheme="minorHAnsi" w:hAnsiTheme="minorHAnsi" w:cstheme="minorHAnsi"/>
          <w:spacing w:val="4"/>
          <w:sz w:val="22"/>
        </w:rPr>
      </w:pPr>
    </w:p>
    <w:p w14:paraId="404F556B" w14:textId="77777777" w:rsidR="00F82C69" w:rsidRDefault="00F82C69" w:rsidP="00992EBC">
      <w:pPr>
        <w:tabs>
          <w:tab w:val="left" w:pos="4020"/>
        </w:tabs>
        <w:jc w:val="center"/>
        <w:rPr>
          <w:rFonts w:asciiTheme="minorHAnsi" w:hAnsiTheme="minorHAnsi" w:cstheme="minorHAnsi"/>
          <w:spacing w:val="4"/>
          <w:sz w:val="22"/>
        </w:rPr>
      </w:pPr>
    </w:p>
    <w:p w14:paraId="3E8CB087" w14:textId="77777777" w:rsidR="00F82C69" w:rsidRDefault="00F82C69" w:rsidP="00992EBC">
      <w:pPr>
        <w:tabs>
          <w:tab w:val="left" w:pos="4020"/>
        </w:tabs>
        <w:jc w:val="center"/>
        <w:rPr>
          <w:rFonts w:asciiTheme="minorHAnsi" w:hAnsiTheme="minorHAnsi" w:cstheme="minorHAnsi"/>
          <w:spacing w:val="4"/>
          <w:sz w:val="22"/>
        </w:rPr>
      </w:pPr>
    </w:p>
    <w:p w14:paraId="365D0FE6" w14:textId="77777777" w:rsidR="00F82C69" w:rsidRDefault="00F82C69" w:rsidP="00992EBC">
      <w:pPr>
        <w:tabs>
          <w:tab w:val="left" w:pos="4020"/>
        </w:tabs>
        <w:jc w:val="center"/>
        <w:rPr>
          <w:rFonts w:asciiTheme="minorHAnsi" w:hAnsiTheme="minorHAnsi" w:cstheme="minorHAnsi"/>
          <w:spacing w:val="4"/>
          <w:sz w:val="22"/>
        </w:rPr>
      </w:pPr>
    </w:p>
    <w:p w14:paraId="2B37B0C4" w14:textId="77777777" w:rsidR="00F82C69" w:rsidRDefault="00F82C69" w:rsidP="00992EBC">
      <w:pPr>
        <w:tabs>
          <w:tab w:val="left" w:pos="4020"/>
        </w:tabs>
        <w:jc w:val="center"/>
        <w:rPr>
          <w:rFonts w:asciiTheme="minorHAnsi" w:hAnsiTheme="minorHAnsi" w:cstheme="minorHAnsi"/>
          <w:spacing w:val="4"/>
          <w:sz w:val="22"/>
        </w:rPr>
      </w:pPr>
    </w:p>
    <w:p w14:paraId="12850A40" w14:textId="77777777" w:rsidR="00F82C69" w:rsidRDefault="00F82C69" w:rsidP="00992EBC">
      <w:pPr>
        <w:tabs>
          <w:tab w:val="left" w:pos="4020"/>
        </w:tabs>
        <w:jc w:val="center"/>
        <w:rPr>
          <w:rFonts w:asciiTheme="minorHAnsi" w:hAnsiTheme="minorHAnsi" w:cstheme="minorHAnsi"/>
          <w:spacing w:val="4"/>
          <w:sz w:val="22"/>
        </w:rPr>
      </w:pPr>
    </w:p>
    <w:p w14:paraId="14E6F1D3" w14:textId="77777777" w:rsidR="00F82C69" w:rsidRDefault="00F82C69" w:rsidP="00992EBC">
      <w:pPr>
        <w:tabs>
          <w:tab w:val="left" w:pos="4020"/>
        </w:tabs>
        <w:jc w:val="center"/>
        <w:rPr>
          <w:rFonts w:asciiTheme="minorHAnsi" w:hAnsiTheme="minorHAnsi" w:cstheme="minorHAnsi"/>
          <w:spacing w:val="4"/>
          <w:sz w:val="22"/>
        </w:rPr>
      </w:pPr>
    </w:p>
    <w:p w14:paraId="7AD7E472" w14:textId="77777777" w:rsidR="00F82C69" w:rsidRDefault="00F82C69" w:rsidP="00992EBC">
      <w:pPr>
        <w:tabs>
          <w:tab w:val="left" w:pos="4020"/>
        </w:tabs>
        <w:jc w:val="center"/>
        <w:rPr>
          <w:rFonts w:asciiTheme="minorHAnsi" w:hAnsiTheme="minorHAnsi" w:cstheme="minorHAnsi"/>
          <w:spacing w:val="4"/>
          <w:sz w:val="22"/>
        </w:rPr>
      </w:pPr>
    </w:p>
    <w:p w14:paraId="4763DD7A" w14:textId="77777777" w:rsidR="00F82C69" w:rsidRDefault="00F82C69" w:rsidP="00992EBC">
      <w:pPr>
        <w:tabs>
          <w:tab w:val="left" w:pos="4020"/>
        </w:tabs>
        <w:jc w:val="center"/>
        <w:rPr>
          <w:rFonts w:asciiTheme="minorHAnsi" w:hAnsiTheme="minorHAnsi" w:cstheme="minorHAnsi"/>
          <w:spacing w:val="4"/>
          <w:sz w:val="22"/>
        </w:rPr>
      </w:pPr>
    </w:p>
    <w:p w14:paraId="5D347918" w14:textId="77777777" w:rsidR="00F82C69" w:rsidRDefault="00F82C69" w:rsidP="00992EBC">
      <w:pPr>
        <w:tabs>
          <w:tab w:val="left" w:pos="4020"/>
        </w:tabs>
        <w:jc w:val="center"/>
        <w:rPr>
          <w:rFonts w:asciiTheme="minorHAnsi" w:hAnsiTheme="minorHAnsi" w:cstheme="minorHAnsi"/>
          <w:spacing w:val="4"/>
          <w:sz w:val="22"/>
        </w:rPr>
      </w:pPr>
    </w:p>
    <w:p w14:paraId="41167D83" w14:textId="77777777" w:rsidR="00F82C69" w:rsidRDefault="00F82C69" w:rsidP="00992EBC">
      <w:pPr>
        <w:tabs>
          <w:tab w:val="left" w:pos="4020"/>
        </w:tabs>
        <w:jc w:val="center"/>
        <w:rPr>
          <w:rFonts w:asciiTheme="minorHAnsi" w:hAnsiTheme="minorHAnsi" w:cstheme="minorHAnsi"/>
          <w:spacing w:val="4"/>
          <w:sz w:val="22"/>
        </w:rPr>
      </w:pPr>
    </w:p>
    <w:p w14:paraId="16D9E4BB" w14:textId="77777777" w:rsidR="00F82C69" w:rsidRDefault="00F82C69" w:rsidP="00992EBC">
      <w:pPr>
        <w:tabs>
          <w:tab w:val="left" w:pos="4020"/>
        </w:tabs>
        <w:jc w:val="center"/>
        <w:rPr>
          <w:rFonts w:asciiTheme="minorHAnsi" w:hAnsiTheme="minorHAnsi" w:cstheme="minorHAnsi"/>
          <w:spacing w:val="4"/>
          <w:sz w:val="22"/>
        </w:rPr>
      </w:pPr>
    </w:p>
    <w:p w14:paraId="4028A11E" w14:textId="77777777" w:rsidR="00F82C69" w:rsidRDefault="00F82C69" w:rsidP="00992EBC">
      <w:pPr>
        <w:tabs>
          <w:tab w:val="left" w:pos="4020"/>
        </w:tabs>
        <w:jc w:val="center"/>
        <w:rPr>
          <w:rFonts w:asciiTheme="minorHAnsi" w:hAnsiTheme="minorHAnsi" w:cstheme="minorHAnsi"/>
          <w:spacing w:val="4"/>
          <w:sz w:val="22"/>
        </w:rPr>
      </w:pPr>
    </w:p>
    <w:p w14:paraId="71B9C4CD" w14:textId="77777777" w:rsidR="00F82C69" w:rsidRDefault="00F82C69" w:rsidP="00992EBC">
      <w:pPr>
        <w:tabs>
          <w:tab w:val="left" w:pos="4020"/>
        </w:tabs>
        <w:jc w:val="center"/>
        <w:rPr>
          <w:rFonts w:asciiTheme="minorHAnsi" w:hAnsiTheme="minorHAnsi" w:cstheme="minorHAnsi"/>
          <w:spacing w:val="4"/>
          <w:sz w:val="22"/>
        </w:rPr>
      </w:pPr>
    </w:p>
    <w:p w14:paraId="7EBFE28E" w14:textId="77777777" w:rsidR="00F82C69" w:rsidRDefault="00F82C69" w:rsidP="00992EBC">
      <w:pPr>
        <w:tabs>
          <w:tab w:val="left" w:pos="4020"/>
        </w:tabs>
        <w:jc w:val="center"/>
        <w:rPr>
          <w:rFonts w:asciiTheme="minorHAnsi" w:hAnsiTheme="minorHAnsi" w:cstheme="minorHAnsi"/>
          <w:spacing w:val="4"/>
          <w:sz w:val="22"/>
        </w:rPr>
      </w:pPr>
    </w:p>
    <w:p w14:paraId="22636BFB" w14:textId="77777777" w:rsidR="00F82C69" w:rsidRDefault="00F82C69" w:rsidP="00992EBC">
      <w:pPr>
        <w:tabs>
          <w:tab w:val="left" w:pos="4020"/>
        </w:tabs>
        <w:jc w:val="center"/>
        <w:rPr>
          <w:rFonts w:asciiTheme="minorHAnsi" w:hAnsiTheme="minorHAnsi" w:cstheme="minorHAnsi"/>
          <w:spacing w:val="4"/>
          <w:sz w:val="22"/>
        </w:rPr>
      </w:pPr>
    </w:p>
    <w:p w14:paraId="5B32428A" w14:textId="77777777" w:rsidR="00F82C69" w:rsidRDefault="00F82C69" w:rsidP="00992EBC">
      <w:pPr>
        <w:tabs>
          <w:tab w:val="left" w:pos="4020"/>
        </w:tabs>
        <w:jc w:val="center"/>
        <w:rPr>
          <w:rFonts w:asciiTheme="minorHAnsi" w:hAnsiTheme="minorHAnsi" w:cstheme="minorHAnsi"/>
          <w:spacing w:val="4"/>
          <w:sz w:val="22"/>
        </w:rPr>
      </w:pPr>
    </w:p>
    <w:p w14:paraId="322F977A" w14:textId="77777777" w:rsidR="00F82C69" w:rsidRDefault="00F82C69" w:rsidP="00992EBC">
      <w:pPr>
        <w:tabs>
          <w:tab w:val="left" w:pos="4020"/>
        </w:tabs>
        <w:jc w:val="center"/>
        <w:rPr>
          <w:rFonts w:asciiTheme="minorHAnsi" w:hAnsiTheme="minorHAnsi" w:cstheme="minorHAnsi"/>
          <w:spacing w:val="4"/>
          <w:sz w:val="22"/>
        </w:rPr>
      </w:pPr>
    </w:p>
    <w:p w14:paraId="66D2FA03" w14:textId="77777777" w:rsidR="00F82C69" w:rsidRDefault="00F82C69" w:rsidP="00992EBC">
      <w:pPr>
        <w:tabs>
          <w:tab w:val="left" w:pos="4020"/>
        </w:tabs>
        <w:jc w:val="center"/>
        <w:rPr>
          <w:rFonts w:asciiTheme="minorHAnsi" w:hAnsiTheme="minorHAnsi" w:cstheme="minorHAnsi"/>
          <w:spacing w:val="4"/>
          <w:sz w:val="22"/>
        </w:rPr>
      </w:pPr>
    </w:p>
    <w:p w14:paraId="46CE24FF" w14:textId="77777777" w:rsidR="00F82C69" w:rsidRDefault="00F82C69" w:rsidP="00992EBC">
      <w:pPr>
        <w:tabs>
          <w:tab w:val="left" w:pos="4020"/>
        </w:tabs>
        <w:jc w:val="center"/>
        <w:rPr>
          <w:rFonts w:asciiTheme="minorHAnsi" w:hAnsiTheme="minorHAnsi" w:cstheme="minorHAnsi"/>
          <w:spacing w:val="4"/>
          <w:sz w:val="22"/>
        </w:rPr>
      </w:pPr>
    </w:p>
    <w:p w14:paraId="6D6E37A8" w14:textId="77777777" w:rsidR="00F82C69" w:rsidRDefault="00F82C69" w:rsidP="00992EBC">
      <w:pPr>
        <w:tabs>
          <w:tab w:val="left" w:pos="4020"/>
        </w:tabs>
        <w:jc w:val="center"/>
        <w:rPr>
          <w:rFonts w:asciiTheme="minorHAnsi" w:hAnsiTheme="minorHAnsi" w:cstheme="minorHAnsi"/>
          <w:spacing w:val="4"/>
          <w:sz w:val="22"/>
        </w:rPr>
      </w:pPr>
    </w:p>
    <w:p w14:paraId="385A0CE3" w14:textId="77777777" w:rsidR="00F82C69" w:rsidRDefault="00F82C69" w:rsidP="00992EBC">
      <w:pPr>
        <w:tabs>
          <w:tab w:val="left" w:pos="4020"/>
        </w:tabs>
        <w:jc w:val="center"/>
        <w:rPr>
          <w:rFonts w:asciiTheme="minorHAnsi" w:hAnsiTheme="minorHAnsi" w:cstheme="minorHAnsi"/>
          <w:spacing w:val="4"/>
          <w:sz w:val="22"/>
        </w:rPr>
      </w:pPr>
    </w:p>
    <w:p w14:paraId="71AD26D2" w14:textId="77777777" w:rsidR="00F82C69" w:rsidRDefault="00F82C69" w:rsidP="00992EBC">
      <w:pPr>
        <w:tabs>
          <w:tab w:val="left" w:pos="4020"/>
        </w:tabs>
        <w:jc w:val="center"/>
        <w:rPr>
          <w:rFonts w:asciiTheme="minorHAnsi" w:hAnsiTheme="minorHAnsi" w:cstheme="minorHAnsi"/>
          <w:spacing w:val="4"/>
          <w:sz w:val="22"/>
        </w:rPr>
      </w:pPr>
    </w:p>
    <w:p w14:paraId="1AB735A3" w14:textId="77777777" w:rsidR="00F82C69" w:rsidRPr="00A0731F" w:rsidRDefault="00F82C69" w:rsidP="00F82C6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lastRenderedPageBreak/>
        <w:t>tab. 6 – La natalità delle imprese</w:t>
      </w:r>
    </w:p>
    <w:p w14:paraId="01915EB3" w14:textId="77777777" w:rsidR="00F82C69" w:rsidRDefault="00F82C69" w:rsidP="00F82C69">
      <w:pPr>
        <w:tabs>
          <w:tab w:val="left" w:pos="4032"/>
        </w:tabs>
        <w:jc w:val="center"/>
      </w:pPr>
      <w:r>
        <w:rPr>
          <w:rFonts w:asciiTheme="minorHAnsi" w:hAnsiTheme="minorHAnsi" w:cstheme="minorHAnsi"/>
          <w:sz w:val="22"/>
        </w:rPr>
        <w:t>Confronto</w:t>
      </w:r>
      <w:r>
        <w:rPr>
          <w:rFonts w:cstheme="minorHAnsi"/>
          <w:sz w:val="22"/>
        </w:rPr>
        <w:t xml:space="preserve"> periodo </w:t>
      </w:r>
      <w:r>
        <w:rPr>
          <w:rFonts w:asciiTheme="minorHAnsi" w:hAnsiTheme="minorHAnsi" w:cstheme="minorHAnsi"/>
          <w:sz w:val="22"/>
        </w:rPr>
        <w:t>2019 – 2020. Iscrizioni in valore assoluto</w:t>
      </w:r>
    </w:p>
    <w:p w14:paraId="40EA9A25" w14:textId="77777777" w:rsidR="00F82C69" w:rsidRDefault="00F82C69" w:rsidP="00F82C69">
      <w:pPr>
        <w:tabs>
          <w:tab w:val="left" w:pos="4020"/>
        </w:tabs>
        <w:rPr>
          <w:rFonts w:asciiTheme="minorHAnsi" w:hAnsiTheme="minorHAnsi" w:cstheme="minorHAnsi"/>
          <w:spacing w:val="4"/>
          <w:sz w:val="22"/>
        </w:rPr>
      </w:pPr>
    </w:p>
    <w:p w14:paraId="0328623A" w14:textId="77777777" w:rsidR="00F82C69" w:rsidRDefault="00F82C69" w:rsidP="00992EBC">
      <w:pPr>
        <w:tabs>
          <w:tab w:val="left" w:pos="4020"/>
        </w:tabs>
        <w:jc w:val="center"/>
      </w:pPr>
      <w:r w:rsidRPr="00F82C69">
        <w:rPr>
          <w:noProof/>
        </w:rPr>
        <w:drawing>
          <wp:inline distT="0" distB="0" distL="0" distR="0" wp14:anchorId="46761868" wp14:editId="3B9326CC">
            <wp:extent cx="6116320" cy="3318763"/>
            <wp:effectExtent l="0" t="0" r="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3318763"/>
                    </a:xfrm>
                    <a:prstGeom prst="rect">
                      <a:avLst/>
                    </a:prstGeom>
                    <a:noFill/>
                    <a:ln>
                      <a:noFill/>
                    </a:ln>
                  </pic:spPr>
                </pic:pic>
              </a:graphicData>
            </a:graphic>
          </wp:inline>
        </w:drawing>
      </w:r>
    </w:p>
    <w:p w14:paraId="3F4CEF69" w14:textId="77777777" w:rsidR="00F82C69" w:rsidRPr="00F82C69" w:rsidRDefault="00F82C69" w:rsidP="00F82C69"/>
    <w:p w14:paraId="05896CA9" w14:textId="77777777" w:rsidR="00F82C69" w:rsidRDefault="00F82C69" w:rsidP="00F82C69"/>
    <w:p w14:paraId="041A4DE4" w14:textId="77777777" w:rsidR="00F82C69" w:rsidRPr="00F82C69" w:rsidRDefault="00F82C69" w:rsidP="00F82C69">
      <w:pPr>
        <w:tabs>
          <w:tab w:val="left" w:pos="3876"/>
        </w:tabs>
        <w:jc w:val="center"/>
      </w:pPr>
      <w:r w:rsidRPr="00503E49">
        <w:rPr>
          <w:rFonts w:asciiTheme="minorHAnsi" w:hAnsiTheme="minorHAnsi" w:cstheme="minorHAnsi"/>
          <w:i/>
          <w:sz w:val="22"/>
        </w:rPr>
        <w:t>Fonte:</w:t>
      </w:r>
      <w:r w:rsidRPr="00503E49">
        <w:rPr>
          <w:rFonts w:asciiTheme="minorHAnsi" w:hAnsiTheme="minorHAnsi" w:cstheme="minorHAnsi"/>
          <w:i/>
          <w:spacing w:val="-16"/>
          <w:sz w:val="22"/>
        </w:rPr>
        <w:t xml:space="preserve"> </w:t>
      </w:r>
      <w:r>
        <w:rPr>
          <w:rFonts w:asciiTheme="minorHAnsi" w:hAnsiTheme="minorHAnsi" w:cstheme="minorHAnsi"/>
          <w:spacing w:val="4"/>
          <w:sz w:val="22"/>
        </w:rPr>
        <w:t xml:space="preserve">Elaborazione </w:t>
      </w:r>
      <w:proofErr w:type="spellStart"/>
      <w:r>
        <w:rPr>
          <w:rFonts w:asciiTheme="minorHAnsi" w:hAnsiTheme="minorHAnsi" w:cstheme="minorHAnsi"/>
          <w:spacing w:val="4"/>
          <w:sz w:val="22"/>
        </w:rPr>
        <w:t>Demoskopika</w:t>
      </w:r>
      <w:proofErr w:type="spellEnd"/>
      <w:r>
        <w:rPr>
          <w:rFonts w:asciiTheme="minorHAnsi" w:hAnsiTheme="minorHAnsi" w:cstheme="minorHAnsi"/>
          <w:spacing w:val="4"/>
          <w:sz w:val="22"/>
        </w:rPr>
        <w:t xml:space="preserve"> su dati INFOCAMERE-UNIONCAMERE.</w:t>
      </w:r>
    </w:p>
    <w:sectPr w:rsidR="00F82C69" w:rsidRPr="00F82C69" w:rsidSect="00B36802">
      <w:headerReference w:type="default" r:id="rId18"/>
      <w:footerReference w:type="even" r:id="rId19"/>
      <w:footerReference w:type="default" r:id="rId20"/>
      <w:headerReference w:type="first" r:id="rId21"/>
      <w:footerReference w:type="first" r:id="rId22"/>
      <w:pgSz w:w="11900" w:h="16840"/>
      <w:pgMar w:top="1956" w:right="1134" w:bottom="1758" w:left="1134" w:header="141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B17DF" w14:textId="77777777" w:rsidR="00CA503E" w:rsidRDefault="00CA503E" w:rsidP="00D7136D">
      <w:r>
        <w:separator/>
      </w:r>
    </w:p>
  </w:endnote>
  <w:endnote w:type="continuationSeparator" w:id="0">
    <w:p w14:paraId="531A0A03" w14:textId="77777777" w:rsidR="00CA503E" w:rsidRDefault="00CA503E" w:rsidP="00D7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F2BFE" w14:textId="77777777" w:rsidR="00356E20" w:rsidRDefault="00356E20" w:rsidP="00585185">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18877E07" w14:textId="77777777" w:rsidR="00356E20" w:rsidRDefault="00356E20" w:rsidP="00356E20">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142379"/>
      <w:docPartObj>
        <w:docPartGallery w:val="Page Numbers (Bottom of Page)"/>
        <w:docPartUnique/>
      </w:docPartObj>
    </w:sdtPr>
    <w:sdtEndPr/>
    <w:sdtContent>
      <w:p w14:paraId="456765D3" w14:textId="77777777" w:rsidR="00D7136D" w:rsidRDefault="00DB4BC5" w:rsidP="00356E20">
        <w:pPr>
          <w:pStyle w:val="Pidipagina"/>
          <w:tabs>
            <w:tab w:val="clear" w:pos="9638"/>
            <w:tab w:val="right" w:pos="10773"/>
          </w:tabs>
          <w:ind w:left="-1134" w:right="-1134" w:firstLine="360"/>
        </w:pPr>
        <w:r>
          <w:rPr>
            <w:noProof/>
          </w:rPr>
          <w:drawing>
            <wp:anchor distT="0" distB="0" distL="114300" distR="114300" simplePos="0" relativeHeight="251673600" behindDoc="1" locked="0" layoutInCell="1" allowOverlap="1" wp14:anchorId="14B19AAE" wp14:editId="7C87C964">
              <wp:simplePos x="0" y="0"/>
              <wp:positionH relativeFrom="column">
                <wp:posOffset>-224790</wp:posOffset>
              </wp:positionH>
              <wp:positionV relativeFrom="paragraph">
                <wp:posOffset>-2243455</wp:posOffset>
              </wp:positionV>
              <wp:extent cx="7052235" cy="2410295"/>
              <wp:effectExtent l="0" t="0" r="0" b="9525"/>
              <wp:wrapNone/>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7052235" cy="24102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1552" behindDoc="0" locked="0" layoutInCell="1" allowOverlap="1" wp14:anchorId="00460CC6" wp14:editId="1A64BCC2">
                  <wp:simplePos x="0" y="0"/>
                  <wp:positionH relativeFrom="margin">
                    <wp:align>left</wp:align>
                  </wp:positionH>
                  <wp:positionV relativeFrom="page">
                    <wp:align>bottom</wp:align>
                  </wp:positionV>
                  <wp:extent cx="436880" cy="716915"/>
                  <wp:effectExtent l="9525" t="9525" r="10795" b="6985"/>
                  <wp:wrapNone/>
                  <wp:docPr id="289" name="Grup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9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2A9AE5A" w14:textId="77777777" w:rsidR="00DB4BC5" w:rsidRDefault="00DB4BC5">
                                <w:pPr>
                                  <w:pStyle w:val="Pidipagina"/>
                                  <w:jc w:val="center"/>
                                  <w:rPr>
                                    <w:sz w:val="16"/>
                                    <w:szCs w:val="16"/>
                                  </w:rPr>
                                </w:pPr>
                                <w:r>
                                  <w:rPr>
                                    <w:sz w:val="22"/>
                                    <w:szCs w:val="22"/>
                                  </w:rPr>
                                  <w:fldChar w:fldCharType="begin"/>
                                </w:r>
                                <w:r>
                                  <w:instrText>PAGE    \* MERGEFORMAT</w:instrText>
                                </w:r>
                                <w:r>
                                  <w:rPr>
                                    <w:sz w:val="22"/>
                                    <w:szCs w:val="22"/>
                                  </w:rPr>
                                  <w:fldChar w:fldCharType="separate"/>
                                </w:r>
                                <w:r w:rsidR="00461C73" w:rsidRPr="00461C73">
                                  <w:rPr>
                                    <w:noProof/>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o 289" o:spid="_x0000_s1027" style="position:absolute;left:0;text-align:left;margin-left:0;margin-top:0;width:34.4pt;height:56.45pt;z-index:25167155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" filled="f" strokecolor="#7f7f7f">
                    <v:textbox>
                      <w:txbxContent>
                        <w:p w:rsidR="00DB4BC5" w:rsidRDefault="00DB4BC5">
                          <w:pPr>
                            <w:pStyle w:val="Pidipagina"/>
                            <w:jc w:val="center"/>
                            <w:rPr>
                              <w:sz w:val="16"/>
                              <w:szCs w:val="16"/>
                            </w:rPr>
                          </w:pPr>
                          <w:r>
                            <w:rPr>
                              <w:sz w:val="22"/>
                              <w:szCs w:val="22"/>
                            </w:rPr>
                            <w:fldChar w:fldCharType="begin"/>
                          </w:r>
                          <w:r>
                            <w:instrText>PAGE    \* MERGEFORMAT</w:instrText>
                          </w:r>
                          <w:r>
                            <w:rPr>
                              <w:sz w:val="22"/>
                              <w:szCs w:val="22"/>
                            </w:rPr>
                            <w:fldChar w:fldCharType="separate"/>
                          </w:r>
                          <w:r w:rsidR="00461C73" w:rsidRPr="00461C73">
                            <w:rPr>
                              <w:noProof/>
                              <w:sz w:val="16"/>
                              <w:szCs w:val="16"/>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5227945"/>
      <w:docPartObj>
        <w:docPartGallery w:val="Page Numbers (Bottom of Page)"/>
        <w:docPartUnique/>
      </w:docPartObj>
    </w:sdtPr>
    <w:sdtEndPr/>
    <w:sdtContent>
      <w:p w14:paraId="6088E537" w14:textId="77777777" w:rsidR="00B36802" w:rsidRDefault="00DB4BC5">
        <w:pPr>
          <w:pStyle w:val="Pidipagina"/>
        </w:pPr>
        <w:r>
          <w:rPr>
            <w:noProof/>
          </w:rPr>
          <w:drawing>
            <wp:anchor distT="0" distB="0" distL="114300" distR="114300" simplePos="0" relativeHeight="251672576" behindDoc="1" locked="0" layoutInCell="1" allowOverlap="1" wp14:anchorId="1A1935F5" wp14:editId="5437BD3D">
              <wp:simplePos x="0" y="0"/>
              <wp:positionH relativeFrom="margin">
                <wp:align>left</wp:align>
              </wp:positionH>
              <wp:positionV relativeFrom="paragraph">
                <wp:posOffset>-2159635</wp:posOffset>
              </wp:positionV>
              <wp:extent cx="6829767" cy="2334260"/>
              <wp:effectExtent l="0" t="0" r="9525" b="8890"/>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6829767" cy="2334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9504" behindDoc="0" locked="0" layoutInCell="1" allowOverlap="1" wp14:anchorId="7963A0B4" wp14:editId="7E190788">
                  <wp:simplePos x="0" y="0"/>
                  <wp:positionH relativeFrom="margin">
                    <wp:align>left</wp:align>
                  </wp:positionH>
                  <wp:positionV relativeFrom="page">
                    <wp:align>bottom</wp:align>
                  </wp:positionV>
                  <wp:extent cx="436880" cy="716915"/>
                  <wp:effectExtent l="9525" t="9525" r="10795" b="6985"/>
                  <wp:wrapNone/>
                  <wp:docPr id="283" name="Grup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9B327B3" w14:textId="77777777" w:rsidR="00DB4BC5" w:rsidRDefault="00DB4BC5">
                                <w:pPr>
                                  <w:pStyle w:val="Pidipagina"/>
                                  <w:jc w:val="center"/>
                                  <w:rPr>
                                    <w:sz w:val="16"/>
                                    <w:szCs w:val="16"/>
                                  </w:rPr>
                                </w:pPr>
                                <w:r>
                                  <w:rPr>
                                    <w:sz w:val="22"/>
                                    <w:szCs w:val="22"/>
                                  </w:rPr>
                                  <w:fldChar w:fldCharType="begin"/>
                                </w:r>
                                <w:r>
                                  <w:instrText>PAGE    \* MERGEFORMAT</w:instrText>
                                </w:r>
                                <w:r>
                                  <w:rPr>
                                    <w:sz w:val="22"/>
                                    <w:szCs w:val="22"/>
                                  </w:rPr>
                                  <w:fldChar w:fldCharType="separate"/>
                                </w:r>
                                <w:r w:rsidR="00461C73" w:rsidRPr="00461C73">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o 283" o:spid="_x0000_s1031" style="position:absolute;margin-left:0;margin-top:0;width:34.4pt;height:56.45pt;z-index:25166950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RSkq4m0DAAAtCQAADgAAAAAAAAAAAAAAAAAuAgAAZHJzL2Uyb0RvYy54bWxQSwECLQAUAAYACAAA&#10;ACEA0pdrB9sAAAAEAQAADwAAAAAAAAAAAAAAAADHBQAAZHJzL2Rvd25yZXYueG1sUEsFBgAAAAAE&#10;AAQA8wAAAM8GA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" strokecolor="#7f7f7f"/>
                  <v:rect id="Rectangle 78" o:spid="_x0000_s103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" filled="f" strokecolor="#7f7f7f">
                    <v:textbox>
                      <w:txbxContent>
                        <w:p w:rsidR="00DB4BC5" w:rsidRDefault="00DB4BC5">
                          <w:pPr>
                            <w:pStyle w:val="Pidipagina"/>
                            <w:jc w:val="center"/>
                            <w:rPr>
                              <w:sz w:val="16"/>
                              <w:szCs w:val="16"/>
                            </w:rPr>
                          </w:pPr>
                          <w:r>
                            <w:rPr>
                              <w:sz w:val="22"/>
                              <w:szCs w:val="22"/>
                            </w:rPr>
                            <w:fldChar w:fldCharType="begin"/>
                          </w:r>
                          <w:r>
                            <w:instrText>PAGE    \* MERGEFORMAT</w:instrText>
                          </w:r>
                          <w:r>
                            <w:rPr>
                              <w:sz w:val="22"/>
                              <w:szCs w:val="22"/>
                            </w:rPr>
                            <w:fldChar w:fldCharType="separate"/>
                          </w:r>
                          <w:r w:rsidR="00461C73" w:rsidRPr="00461C73">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AB88F" w14:textId="77777777" w:rsidR="00CA503E" w:rsidRDefault="00CA503E" w:rsidP="00D7136D">
      <w:r>
        <w:separator/>
      </w:r>
    </w:p>
  </w:footnote>
  <w:footnote w:type="continuationSeparator" w:id="0">
    <w:p w14:paraId="2C3FD02C" w14:textId="77777777" w:rsidR="00CA503E" w:rsidRDefault="00CA503E" w:rsidP="00D7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4C15" w14:textId="77777777" w:rsidR="00D7136D" w:rsidRPr="00D7136D" w:rsidRDefault="001D6BA9" w:rsidP="007F4863">
    <w:pPr>
      <w:pStyle w:val="Intestazione"/>
      <w:tabs>
        <w:tab w:val="clear" w:pos="4819"/>
        <w:tab w:val="clear" w:pos="9638"/>
        <w:tab w:val="left" w:pos="3822"/>
      </w:tabs>
    </w:pPr>
    <w:r>
      <w:rPr>
        <w:rFonts w:asciiTheme="majorHAnsi" w:hAnsiTheme="majorHAnsi" w:cs="Tahoma"/>
        <w:b/>
        <w:bCs/>
        <w:noProof/>
        <w:sz w:val="34"/>
        <w:szCs w:val="34"/>
      </w:rPr>
      <w:drawing>
        <wp:anchor distT="0" distB="0" distL="114300" distR="114300" simplePos="0" relativeHeight="251665408" behindDoc="0" locked="0" layoutInCell="1" allowOverlap="1" wp14:anchorId="15A2498E" wp14:editId="0DEC79B2">
          <wp:simplePos x="0" y="0"/>
          <wp:positionH relativeFrom="margin">
            <wp:posOffset>-529590</wp:posOffset>
          </wp:positionH>
          <wp:positionV relativeFrom="paragraph">
            <wp:posOffset>-668020</wp:posOffset>
          </wp:positionV>
          <wp:extent cx="7284085" cy="1215390"/>
          <wp:effectExtent l="0" t="0" r="0" b="3810"/>
          <wp:wrapNone/>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esta seguito.jpg"/>
                  <pic:cNvPicPr/>
                </pic:nvPicPr>
                <pic:blipFill>
                  <a:blip r:embed="rId1">
                    <a:extLst>
                      <a:ext uri="{28A0092B-C50C-407E-A947-70E740481C1C}">
                        <a14:useLocalDpi xmlns:a14="http://schemas.microsoft.com/office/drawing/2010/main" val="0"/>
                      </a:ext>
                    </a:extLst>
                  </a:blip>
                  <a:stretch>
                    <a:fillRect/>
                  </a:stretch>
                </pic:blipFill>
                <pic:spPr>
                  <a:xfrm>
                    <a:off x="0" y="0"/>
                    <a:ext cx="7284085" cy="1215390"/>
                  </a:xfrm>
                  <a:prstGeom prst="rect">
                    <a:avLst/>
                  </a:prstGeom>
                </pic:spPr>
              </pic:pic>
            </a:graphicData>
          </a:graphic>
          <wp14:sizeRelH relativeFrom="page">
            <wp14:pctWidth>0</wp14:pctWidth>
          </wp14:sizeRelH>
          <wp14:sizeRelV relativeFrom="page">
            <wp14:pctHeight>0</wp14:pctHeight>
          </wp14:sizeRelV>
        </wp:anchor>
      </w:drawing>
    </w:r>
    <w:r w:rsidRPr="000C5DEE">
      <w:rPr>
        <w:rFonts w:asciiTheme="majorHAnsi" w:hAnsiTheme="majorHAnsi" w:cs="Tahoma"/>
        <w:b/>
        <w:bCs/>
        <w:noProof/>
        <w:sz w:val="34"/>
        <w:szCs w:val="34"/>
      </w:rPr>
      <mc:AlternateContent>
        <mc:Choice Requires="wps">
          <w:drawing>
            <wp:anchor distT="45720" distB="45720" distL="114300" distR="114300" simplePos="0" relativeHeight="251667456" behindDoc="0" locked="0" layoutInCell="1" allowOverlap="1" wp14:anchorId="4405627A" wp14:editId="1D9FC0BB">
              <wp:simplePos x="0" y="0"/>
              <wp:positionH relativeFrom="margin">
                <wp:posOffset>99060</wp:posOffset>
              </wp:positionH>
              <wp:positionV relativeFrom="paragraph">
                <wp:posOffset>-134620</wp:posOffset>
              </wp:positionV>
              <wp:extent cx="1383030" cy="1404620"/>
              <wp:effectExtent l="0" t="0" r="7620" b="5715"/>
              <wp:wrapNone/>
              <wp:docPr id="2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2142ED36" w14:textId="77777777" w:rsidR="001D6BA9" w:rsidRPr="001D6BA9" w:rsidRDefault="001D6BA9" w:rsidP="001D6BA9">
                          <w:pPr>
                            <w:jc w:val="center"/>
                            <w:rPr>
                              <w:rFonts w:ascii="Arial" w:hAnsi="Arial" w:cs="Arial"/>
                              <w:sz w:val="22"/>
                              <w:szCs w:val="22"/>
                            </w:rPr>
                          </w:pPr>
                          <w:r w:rsidRPr="001D6BA9">
                            <w:rPr>
                              <w:rFonts w:ascii="Arial" w:hAnsi="Arial" w:cs="Arial"/>
                              <w:sz w:val="22"/>
                              <w:szCs w:val="22"/>
                            </w:rPr>
                            <w:t>26 marzo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E38826" id="_x0000_t202" coordsize="21600,21600" o:spt="202" path="m,l,21600r21600,l21600,xe">
              <v:stroke joinstyle="miter"/>
              <v:path gradientshapeok="t" o:connecttype="rect"/>
            </v:shapetype>
            <v:shape id="Casella di testo 2" o:spid="_x0000_s1026" type="#_x0000_t202" style="position:absolute;margin-left:7.8pt;margin-top:-10.6pt;width:108.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" stroked="f">
              <v:textbox style="mso-fit-shape-to-text:t">
                <w:txbxContent>
                  <w:p w:rsidR="001D6BA9" w:rsidRPr="001D6BA9" w:rsidRDefault="001D6BA9" w:rsidP="001D6BA9">
                    <w:pPr>
                      <w:jc w:val="center"/>
                      <w:rPr>
                        <w:rFonts w:ascii="Arial" w:hAnsi="Arial" w:cs="Arial"/>
                        <w:sz w:val="22"/>
                        <w:szCs w:val="22"/>
                      </w:rPr>
                    </w:pPr>
                    <w:r w:rsidRPr="001D6BA9">
                      <w:rPr>
                        <w:rFonts w:ascii="Arial" w:hAnsi="Arial" w:cs="Arial"/>
                        <w:sz w:val="22"/>
                        <w:szCs w:val="22"/>
                      </w:rPr>
                      <w:t>26 marzo 2021</w:t>
                    </w:r>
                  </w:p>
                </w:txbxContent>
              </v:textbox>
              <w10:wrap anchorx="margin"/>
            </v:shape>
          </w:pict>
        </mc:Fallback>
      </mc:AlternateContent>
    </w:r>
    <w:r w:rsidR="007F486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967C3" w14:textId="77777777" w:rsidR="007F4863" w:rsidRDefault="001D6BA9">
    <w:pPr>
      <w:pStyle w:val="Intestazione"/>
    </w:pPr>
    <w:r w:rsidRPr="000C5DEE">
      <w:rPr>
        <w:rFonts w:asciiTheme="majorHAnsi" w:hAnsiTheme="majorHAnsi" w:cs="Tahoma"/>
        <w:b/>
        <w:bCs/>
        <w:noProof/>
        <w:sz w:val="34"/>
        <w:szCs w:val="34"/>
      </w:rPr>
      <mc:AlternateContent>
        <mc:Choice Requires="wps">
          <w:drawing>
            <wp:anchor distT="45720" distB="45720" distL="114300" distR="114300" simplePos="0" relativeHeight="251663360" behindDoc="0" locked="0" layoutInCell="1" allowOverlap="1" wp14:anchorId="25AA1421" wp14:editId="08D2F9EF">
              <wp:simplePos x="0" y="0"/>
              <wp:positionH relativeFrom="column">
                <wp:posOffset>4800600</wp:posOffset>
              </wp:positionH>
              <wp:positionV relativeFrom="paragraph">
                <wp:posOffset>1386840</wp:posOffset>
              </wp:positionV>
              <wp:extent cx="1383030" cy="1404620"/>
              <wp:effectExtent l="0" t="0" r="762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6EFD4936" w14:textId="77777777" w:rsidR="007F4863" w:rsidRPr="000C5DEE" w:rsidRDefault="007F4863" w:rsidP="007F4863">
                          <w:pPr>
                            <w:jc w:val="center"/>
                            <w:rPr>
                              <w:rFonts w:ascii="Arial" w:hAnsi="Arial" w:cs="Arial"/>
                            </w:rPr>
                          </w:pPr>
                          <w:r w:rsidRPr="000C5DEE">
                            <w:rPr>
                              <w:rFonts w:ascii="Arial" w:hAnsi="Arial" w:cs="Arial"/>
                            </w:rPr>
                            <w:t>26 marzo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B5444C" id="_x0000_t202" coordsize="21600,21600" o:spt="202" path="m,l,21600r21600,l21600,xe">
              <v:stroke joinstyle="miter"/>
              <v:path gradientshapeok="t" o:connecttype="rect"/>
            </v:shapetype>
            <v:shape id="_x0000_s1030" type="#_x0000_t202" style="position:absolute;margin-left:378pt;margin-top:109.2pt;width:108.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" stroked="f">
              <v:textbox style="mso-fit-shape-to-text:t">
                <w:txbxContent>
                  <w:p w:rsidR="007F4863" w:rsidRPr="000C5DEE" w:rsidRDefault="007F4863" w:rsidP="007F4863">
                    <w:pPr>
                      <w:jc w:val="center"/>
                      <w:rPr>
                        <w:rFonts w:ascii="Arial" w:hAnsi="Arial" w:cs="Arial"/>
                      </w:rPr>
                    </w:pPr>
                    <w:r w:rsidRPr="000C5DEE">
                      <w:rPr>
                        <w:rFonts w:ascii="Arial" w:hAnsi="Arial" w:cs="Arial"/>
                      </w:rPr>
                      <w:t>26 marzo 2021</w:t>
                    </w:r>
                  </w:p>
                </w:txbxContent>
              </v:textbox>
            </v:shape>
          </w:pict>
        </mc:Fallback>
      </mc:AlternateContent>
    </w:r>
    <w:r>
      <w:rPr>
        <w:noProof/>
      </w:rPr>
      <w:drawing>
        <wp:anchor distT="0" distB="0" distL="114300" distR="114300" simplePos="0" relativeHeight="251661312" behindDoc="1" locked="0" layoutInCell="1" allowOverlap="1" wp14:anchorId="20CAF781" wp14:editId="2585D3C0">
          <wp:simplePos x="0" y="0"/>
          <wp:positionH relativeFrom="column">
            <wp:posOffset>-411480</wp:posOffset>
          </wp:positionH>
          <wp:positionV relativeFrom="paragraph">
            <wp:posOffset>-445770</wp:posOffset>
          </wp:positionV>
          <wp:extent cx="6887845" cy="2156460"/>
          <wp:effectExtent l="0" t="0" r="8255" b="0"/>
          <wp:wrapNone/>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 nota.jpg"/>
                  <pic:cNvPicPr/>
                </pic:nvPicPr>
                <pic:blipFill>
                  <a:blip r:embed="rId1">
                    <a:extLst>
                      <a:ext uri="{28A0092B-C50C-407E-A947-70E740481C1C}">
                        <a14:useLocalDpi xmlns:a14="http://schemas.microsoft.com/office/drawing/2010/main" val="0"/>
                      </a:ext>
                    </a:extLst>
                  </a:blip>
                  <a:stretch>
                    <a:fillRect/>
                  </a:stretch>
                </pic:blipFill>
                <pic:spPr>
                  <a:xfrm>
                    <a:off x="0" y="0"/>
                    <a:ext cx="6887845" cy="21564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36D"/>
    <w:rsid w:val="000006A7"/>
    <w:rsid w:val="00041474"/>
    <w:rsid w:val="000C5DEE"/>
    <w:rsid w:val="00114F21"/>
    <w:rsid w:val="001741BE"/>
    <w:rsid w:val="001D6BA9"/>
    <w:rsid w:val="002076A3"/>
    <w:rsid w:val="002156BA"/>
    <w:rsid w:val="00216032"/>
    <w:rsid w:val="0028431B"/>
    <w:rsid w:val="002D0AB9"/>
    <w:rsid w:val="002E3520"/>
    <w:rsid w:val="002E60DD"/>
    <w:rsid w:val="00320E0B"/>
    <w:rsid w:val="00334564"/>
    <w:rsid w:val="003448B5"/>
    <w:rsid w:val="00356E20"/>
    <w:rsid w:val="00383E47"/>
    <w:rsid w:val="00395C59"/>
    <w:rsid w:val="003B4B60"/>
    <w:rsid w:val="003F122A"/>
    <w:rsid w:val="00430A91"/>
    <w:rsid w:val="00451586"/>
    <w:rsid w:val="00461C73"/>
    <w:rsid w:val="004712D6"/>
    <w:rsid w:val="00487BD5"/>
    <w:rsid w:val="004C6928"/>
    <w:rsid w:val="005164E5"/>
    <w:rsid w:val="00534130"/>
    <w:rsid w:val="005432BB"/>
    <w:rsid w:val="00565723"/>
    <w:rsid w:val="005657C8"/>
    <w:rsid w:val="00585A4A"/>
    <w:rsid w:val="005A268A"/>
    <w:rsid w:val="005A50FA"/>
    <w:rsid w:val="005E6A3B"/>
    <w:rsid w:val="006103D8"/>
    <w:rsid w:val="00660449"/>
    <w:rsid w:val="006765F2"/>
    <w:rsid w:val="00680886"/>
    <w:rsid w:val="00696614"/>
    <w:rsid w:val="006A6142"/>
    <w:rsid w:val="006E7051"/>
    <w:rsid w:val="006F31B9"/>
    <w:rsid w:val="006F57AC"/>
    <w:rsid w:val="00735B7B"/>
    <w:rsid w:val="00795609"/>
    <w:rsid w:val="007F30E8"/>
    <w:rsid w:val="007F4863"/>
    <w:rsid w:val="007F4EC8"/>
    <w:rsid w:val="008335F4"/>
    <w:rsid w:val="008711F1"/>
    <w:rsid w:val="00896188"/>
    <w:rsid w:val="008C14F4"/>
    <w:rsid w:val="009004AA"/>
    <w:rsid w:val="00905C00"/>
    <w:rsid w:val="0092770A"/>
    <w:rsid w:val="0092792B"/>
    <w:rsid w:val="00930C12"/>
    <w:rsid w:val="00937BE8"/>
    <w:rsid w:val="00992EBC"/>
    <w:rsid w:val="009B7308"/>
    <w:rsid w:val="009D2FA3"/>
    <w:rsid w:val="00A17B34"/>
    <w:rsid w:val="00A72B96"/>
    <w:rsid w:val="00A823B0"/>
    <w:rsid w:val="00A96B3E"/>
    <w:rsid w:val="00AA2CE9"/>
    <w:rsid w:val="00AD398A"/>
    <w:rsid w:val="00B061C6"/>
    <w:rsid w:val="00B3074C"/>
    <w:rsid w:val="00B36802"/>
    <w:rsid w:val="00BA0ABB"/>
    <w:rsid w:val="00BA6E76"/>
    <w:rsid w:val="00C1357C"/>
    <w:rsid w:val="00C40AD9"/>
    <w:rsid w:val="00CA503E"/>
    <w:rsid w:val="00CC0D71"/>
    <w:rsid w:val="00CC3258"/>
    <w:rsid w:val="00CF4F1A"/>
    <w:rsid w:val="00D060CA"/>
    <w:rsid w:val="00D7136D"/>
    <w:rsid w:val="00D92990"/>
    <w:rsid w:val="00D940C8"/>
    <w:rsid w:val="00DB4BC5"/>
    <w:rsid w:val="00DD53F7"/>
    <w:rsid w:val="00DE20E8"/>
    <w:rsid w:val="00E16A3B"/>
    <w:rsid w:val="00E85BDE"/>
    <w:rsid w:val="00EA42B6"/>
    <w:rsid w:val="00EA446B"/>
    <w:rsid w:val="00ED57AB"/>
    <w:rsid w:val="00F1033D"/>
    <w:rsid w:val="00F204FC"/>
    <w:rsid w:val="00F82C69"/>
    <w:rsid w:val="00FE5BE8"/>
    <w:rsid w:val="00FF41E2"/>
    <w:rsid w:val="00FF780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5D6B6"/>
  <w14:defaultImageDpi w14:val="300"/>
  <w15:docId w15:val="{756F7CE9-8C76-45A7-B717-DD3A0B10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5B7B"/>
    <w:rPr>
      <w:rFonts w:ascii="Times New Roman" w:eastAsia="Times New Roman" w:hAnsi="Times New Roman" w:cs="Times New Roman"/>
    </w:rPr>
  </w:style>
  <w:style w:type="paragraph" w:styleId="Titolo1">
    <w:name w:val="heading 1"/>
    <w:basedOn w:val="Normale"/>
    <w:link w:val="Titolo1Carattere"/>
    <w:uiPriority w:val="9"/>
    <w:qFormat/>
    <w:rsid w:val="00D7136D"/>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136D"/>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D7136D"/>
    <w:rPr>
      <w:rFonts w:ascii="Lucida Grande" w:hAnsi="Lucida Grande" w:cs="Lucida Grande"/>
      <w:sz w:val="18"/>
      <w:szCs w:val="18"/>
    </w:rPr>
  </w:style>
  <w:style w:type="paragraph" w:styleId="Intestazione">
    <w:name w:val="header"/>
    <w:basedOn w:val="Normale"/>
    <w:link w:val="IntestazioneCarattere"/>
    <w:unhideWhenUsed/>
    <w:rsid w:val="00D7136D"/>
    <w:pPr>
      <w:tabs>
        <w:tab w:val="center" w:pos="4819"/>
        <w:tab w:val="right" w:pos="9638"/>
      </w:tabs>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rsid w:val="00D7136D"/>
  </w:style>
  <w:style w:type="paragraph" w:styleId="Pidipagina">
    <w:name w:val="footer"/>
    <w:basedOn w:val="Normale"/>
    <w:link w:val="PidipaginaCarattere"/>
    <w:uiPriority w:val="99"/>
    <w:unhideWhenUsed/>
    <w:rsid w:val="00D7136D"/>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D7136D"/>
  </w:style>
  <w:style w:type="character" w:customStyle="1" w:styleId="Titolo1Carattere">
    <w:name w:val="Titolo 1 Carattere"/>
    <w:basedOn w:val="Carpredefinitoparagrafo"/>
    <w:link w:val="Titolo1"/>
    <w:uiPriority w:val="9"/>
    <w:rsid w:val="00D7136D"/>
    <w:rPr>
      <w:rFonts w:ascii="Times New Roman" w:eastAsia="Times New Roman" w:hAnsi="Times New Roman" w:cs="Times New Roman"/>
      <w:b/>
      <w:bCs/>
      <w:kern w:val="36"/>
      <w:sz w:val="48"/>
      <w:szCs w:val="48"/>
    </w:rPr>
  </w:style>
  <w:style w:type="character" w:styleId="Numeropagina">
    <w:name w:val="page number"/>
    <w:basedOn w:val="Carpredefinitoparagrafo"/>
    <w:uiPriority w:val="99"/>
    <w:semiHidden/>
    <w:unhideWhenUsed/>
    <w:rsid w:val="00356E20"/>
  </w:style>
  <w:style w:type="character" w:customStyle="1" w:styleId="jsgrdq">
    <w:name w:val="jsgrdq"/>
    <w:basedOn w:val="Carpredefinitoparagrafo"/>
    <w:rsid w:val="001D6BA9"/>
  </w:style>
  <w:style w:type="character" w:styleId="Enfasigrassetto">
    <w:name w:val="Strong"/>
    <w:basedOn w:val="Carpredefinitoparagrafo"/>
    <w:uiPriority w:val="22"/>
    <w:qFormat/>
    <w:rsid w:val="005A26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Servizio"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it.wikipedia.org/wiki/Bene_(economia)"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47FA2-B5E0-4374-B0AF-8110BF4E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2644</Words>
  <Characters>15077</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Vomero</dc:creator>
  <cp:keywords/>
  <dc:description/>
  <cp:lastModifiedBy>Annalisa Martelli</cp:lastModifiedBy>
  <cp:revision>29</cp:revision>
  <cp:lastPrinted>2021-03-23T11:29:00Z</cp:lastPrinted>
  <dcterms:created xsi:type="dcterms:W3CDTF">2021-03-25T08:58:00Z</dcterms:created>
  <dcterms:modified xsi:type="dcterms:W3CDTF">2021-03-25T15:22:00Z</dcterms:modified>
</cp:coreProperties>
</file>